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AF1E42">
      <w:pPr>
        <w:adjustRightInd w:val="0"/>
        <w:snapToGrid w:val="0"/>
        <w:jc w:val="center"/>
        <w:rPr>
          <w:rFonts w:hint="eastAsia" w:ascii="宋体" w:hAnsi="宋体" w:cs="宋体"/>
          <w:sz w:val="56"/>
          <w:szCs w:val="56"/>
          <w:highlight w:val="none"/>
        </w:rPr>
      </w:pPr>
      <w:bookmarkStart w:id="0" w:name="_Hlk41115775"/>
    </w:p>
    <w:p w14:paraId="0701C3F6">
      <w:pPr>
        <w:keepNext w:val="0"/>
        <w:keepLines w:val="0"/>
        <w:widowControl/>
        <w:suppressLineNumbers w:val="0"/>
        <w:jc w:val="center"/>
        <w:rPr>
          <w:rFonts w:hint="default" w:ascii="宋体" w:hAnsi="宋体" w:eastAsia="宋体" w:cs="宋体"/>
          <w:b/>
          <w:bCs/>
          <w:color w:val="000000"/>
          <w:kern w:val="0"/>
          <w:sz w:val="48"/>
          <w:szCs w:val="48"/>
          <w:lang w:val="en-US" w:eastAsia="zh-CN" w:bidi="ar"/>
        </w:rPr>
      </w:pPr>
      <w:r>
        <w:rPr>
          <w:rFonts w:hint="eastAsia" w:ascii="宋体" w:hAnsi="宋体" w:eastAsia="宋体" w:cs="宋体"/>
          <w:b/>
          <w:bCs/>
          <w:color w:val="000000"/>
          <w:kern w:val="0"/>
          <w:sz w:val="48"/>
          <w:szCs w:val="48"/>
          <w:lang w:val="en-US" w:eastAsia="zh-CN" w:bidi="ar"/>
        </w:rPr>
        <w:t>2025年汽开区绿化养护管理服务</w:t>
      </w:r>
      <w:r>
        <w:rPr>
          <w:rFonts w:hint="eastAsia" w:ascii="宋体" w:hAnsi="宋体" w:cs="宋体"/>
          <w:b/>
          <w:bCs/>
          <w:color w:val="000000"/>
          <w:kern w:val="0"/>
          <w:sz w:val="48"/>
          <w:szCs w:val="48"/>
          <w:lang w:val="en-US" w:eastAsia="zh-CN" w:bidi="ar"/>
        </w:rPr>
        <w:t>六标段</w:t>
      </w:r>
    </w:p>
    <w:p w14:paraId="0AC8A827">
      <w:pPr>
        <w:pStyle w:val="73"/>
        <w:rPr>
          <w:rFonts w:hint="eastAsia" w:eastAsia="宋体"/>
          <w:b/>
          <w:bCs/>
          <w:sz w:val="44"/>
          <w:szCs w:val="44"/>
          <w:highlight w:val="none"/>
        </w:rPr>
      </w:pPr>
    </w:p>
    <w:p w14:paraId="1AACB535">
      <w:pPr>
        <w:pStyle w:val="73"/>
        <w:rPr>
          <w:rFonts w:hint="eastAsia" w:eastAsia="宋体"/>
          <w:b/>
          <w:bCs/>
          <w:sz w:val="44"/>
          <w:szCs w:val="44"/>
          <w:highlight w:val="none"/>
        </w:rPr>
      </w:pPr>
    </w:p>
    <w:p w14:paraId="11F27BF0">
      <w:pPr>
        <w:pStyle w:val="73"/>
        <w:rPr>
          <w:rFonts w:hint="eastAsia" w:eastAsia="宋体"/>
          <w:b/>
          <w:bCs/>
          <w:sz w:val="44"/>
          <w:szCs w:val="44"/>
          <w:highlight w:val="none"/>
        </w:rPr>
      </w:pPr>
    </w:p>
    <w:p w14:paraId="00B45022">
      <w:pPr>
        <w:pStyle w:val="73"/>
        <w:rPr>
          <w:rFonts w:hint="eastAsia" w:eastAsia="宋体"/>
          <w:b/>
          <w:bCs/>
          <w:sz w:val="44"/>
          <w:szCs w:val="44"/>
          <w:highlight w:val="none"/>
        </w:rPr>
      </w:pPr>
    </w:p>
    <w:p w14:paraId="4E46A780">
      <w:pPr>
        <w:pStyle w:val="73"/>
        <w:rPr>
          <w:rFonts w:hint="eastAsia" w:eastAsia="宋体"/>
          <w:b/>
          <w:bCs/>
          <w:sz w:val="44"/>
          <w:szCs w:val="44"/>
          <w:highlight w:val="none"/>
        </w:rPr>
      </w:pPr>
    </w:p>
    <w:p w14:paraId="1E2BDE76">
      <w:pPr>
        <w:pStyle w:val="73"/>
        <w:rPr>
          <w:rFonts w:hint="eastAsia" w:eastAsia="宋体"/>
          <w:b/>
          <w:bCs/>
          <w:sz w:val="44"/>
          <w:szCs w:val="44"/>
          <w:highlight w:val="none"/>
        </w:rPr>
      </w:pPr>
    </w:p>
    <w:p w14:paraId="2055546E">
      <w:pPr>
        <w:adjustRightInd w:val="0"/>
        <w:snapToGrid w:val="0"/>
        <w:jc w:val="center"/>
        <w:rPr>
          <w:rFonts w:hint="eastAsia" w:ascii="宋体" w:hAnsi="宋体" w:cs="宋体"/>
          <w:sz w:val="96"/>
          <w:szCs w:val="96"/>
          <w:highlight w:val="none"/>
        </w:rPr>
      </w:pPr>
      <w:r>
        <w:rPr>
          <w:rFonts w:hint="eastAsia" w:ascii="宋体" w:hAnsi="宋体" w:cs="宋体"/>
          <w:b/>
          <w:bCs/>
          <w:sz w:val="96"/>
          <w:szCs w:val="96"/>
          <w:highlight w:val="none"/>
        </w:rPr>
        <w:t>招 标 文 件</w:t>
      </w:r>
    </w:p>
    <w:p w14:paraId="00F598FE">
      <w:pPr>
        <w:rPr>
          <w:rFonts w:hint="eastAsia" w:ascii="宋体" w:hAnsi="宋体" w:cs="宋体"/>
          <w:sz w:val="24"/>
          <w:highlight w:val="none"/>
        </w:rPr>
      </w:pPr>
    </w:p>
    <w:p w14:paraId="2788AF84">
      <w:pPr>
        <w:jc w:val="center"/>
        <w:rPr>
          <w:rFonts w:hint="default" w:ascii="宋体" w:hAnsi="宋体" w:eastAsia="宋体" w:cs="宋体"/>
          <w:sz w:val="28"/>
          <w:highlight w:val="none"/>
          <w:lang w:val="en-US" w:eastAsia="zh-CN"/>
        </w:rPr>
      </w:pPr>
      <w:r>
        <w:rPr>
          <w:rFonts w:hint="eastAsia" w:ascii="宋体" w:hAnsi="宋体" w:cs="宋体"/>
          <w:sz w:val="28"/>
          <w:highlight w:val="none"/>
        </w:rPr>
        <w:t>项目编号：</w:t>
      </w:r>
      <w:r>
        <w:rPr>
          <w:rFonts w:hint="eastAsia" w:ascii="宋体" w:hAnsi="宋体" w:cs="宋体"/>
          <w:sz w:val="28"/>
          <w:highlight w:val="none"/>
          <w:lang w:val="en-US" w:eastAsia="zh-CN"/>
        </w:rPr>
        <w:t>采购项目-【2025】-00198号-6</w:t>
      </w:r>
    </w:p>
    <w:p w14:paraId="6C5375DE">
      <w:pPr>
        <w:jc w:val="center"/>
        <w:rPr>
          <w:rFonts w:hint="default" w:ascii="宋体" w:hAnsi="宋体" w:eastAsia="宋体" w:cs="宋体"/>
          <w:sz w:val="28"/>
          <w:highlight w:val="none"/>
          <w:lang w:val="en-US" w:eastAsia="zh-CN"/>
        </w:rPr>
      </w:pPr>
    </w:p>
    <w:p w14:paraId="0B267C98">
      <w:pPr>
        <w:jc w:val="center"/>
        <w:rPr>
          <w:rFonts w:hint="eastAsia" w:ascii="宋体" w:hAnsi="宋体" w:cs="宋体"/>
          <w:sz w:val="32"/>
          <w:highlight w:val="none"/>
        </w:rPr>
      </w:pPr>
    </w:p>
    <w:p w14:paraId="79D94302">
      <w:pPr>
        <w:jc w:val="center"/>
        <w:rPr>
          <w:rFonts w:hint="eastAsia" w:ascii="宋体" w:hAnsi="宋体" w:cs="宋体"/>
          <w:sz w:val="32"/>
          <w:highlight w:val="none"/>
        </w:rPr>
      </w:pPr>
    </w:p>
    <w:p w14:paraId="44BFD5A3">
      <w:pPr>
        <w:jc w:val="center"/>
        <w:rPr>
          <w:rFonts w:hint="eastAsia" w:ascii="宋体" w:hAnsi="宋体" w:cs="宋体"/>
          <w:sz w:val="32"/>
          <w:highlight w:val="none"/>
        </w:rPr>
      </w:pPr>
    </w:p>
    <w:p w14:paraId="4E5B26AC">
      <w:pPr>
        <w:pStyle w:val="73"/>
        <w:rPr>
          <w:rFonts w:hint="eastAsia" w:eastAsia="宋体"/>
          <w:sz w:val="32"/>
          <w:highlight w:val="none"/>
        </w:rPr>
      </w:pPr>
    </w:p>
    <w:p w14:paraId="4B0B18FE">
      <w:pPr>
        <w:pStyle w:val="73"/>
        <w:rPr>
          <w:rFonts w:hint="eastAsia" w:eastAsia="宋体"/>
          <w:sz w:val="32"/>
          <w:highlight w:val="none"/>
        </w:rPr>
      </w:pPr>
    </w:p>
    <w:p w14:paraId="689C9D1B">
      <w:pPr>
        <w:pStyle w:val="73"/>
        <w:rPr>
          <w:rFonts w:hint="eastAsia" w:eastAsia="宋体"/>
          <w:sz w:val="32"/>
          <w:highlight w:val="none"/>
        </w:rPr>
      </w:pPr>
    </w:p>
    <w:p w14:paraId="21328B9F">
      <w:pPr>
        <w:pStyle w:val="73"/>
        <w:rPr>
          <w:rFonts w:hint="eastAsia" w:eastAsia="宋体"/>
          <w:sz w:val="32"/>
          <w:highlight w:val="none"/>
        </w:rPr>
      </w:pPr>
    </w:p>
    <w:p w14:paraId="74494AE8">
      <w:pPr>
        <w:pStyle w:val="73"/>
        <w:rPr>
          <w:rFonts w:hint="eastAsia" w:eastAsia="宋体"/>
          <w:sz w:val="32"/>
          <w:highlight w:val="none"/>
        </w:rPr>
      </w:pPr>
    </w:p>
    <w:p w14:paraId="1D385AD1">
      <w:pPr>
        <w:rPr>
          <w:rFonts w:hint="eastAsia" w:ascii="宋体" w:hAnsi="宋体" w:cs="宋体"/>
          <w:sz w:val="32"/>
          <w:highlight w:val="none"/>
        </w:rPr>
      </w:pPr>
    </w:p>
    <w:p w14:paraId="51FC0F7D">
      <w:pPr>
        <w:jc w:val="center"/>
        <w:rPr>
          <w:rFonts w:hint="eastAsia" w:ascii="宋体" w:hAnsi="宋体" w:cs="宋体"/>
          <w:sz w:val="32"/>
          <w:highlight w:val="none"/>
        </w:rPr>
      </w:pPr>
    </w:p>
    <w:p w14:paraId="009BF914">
      <w:pPr>
        <w:pStyle w:val="73"/>
        <w:rPr>
          <w:rFonts w:hint="eastAsia" w:ascii="宋体" w:hAnsi="宋体" w:cs="宋体"/>
          <w:b/>
          <w:bCs/>
          <w:sz w:val="30"/>
          <w:szCs w:val="30"/>
          <w:highlight w:val="none"/>
        </w:rPr>
      </w:pPr>
      <w:r>
        <w:rPr>
          <w:rFonts w:hint="eastAsia" w:ascii="宋体" w:hAnsi="宋体" w:cs="宋体"/>
          <w:b/>
          <w:bCs/>
          <w:sz w:val="30"/>
          <w:szCs w:val="30"/>
          <w:highlight w:val="none"/>
        </w:rPr>
        <w:t>采购人：</w:t>
      </w:r>
      <w:r>
        <w:rPr>
          <w:rFonts w:hint="eastAsia" w:ascii="宋体" w:hAnsi="宋体" w:cs="宋体"/>
          <w:b/>
          <w:bCs/>
          <w:sz w:val="30"/>
          <w:szCs w:val="30"/>
          <w:highlight w:val="none"/>
          <w:lang w:val="en-US" w:eastAsia="zh-CN"/>
        </w:rPr>
        <w:t>长春汽车经济技术开发区住房保障和房屋管理局</w:t>
      </w:r>
    </w:p>
    <w:p w14:paraId="487CF6BC">
      <w:pPr>
        <w:snapToGrid w:val="0"/>
        <w:rPr>
          <w:rFonts w:hint="eastAsia" w:ascii="宋体" w:hAnsi="宋体" w:cs="宋体"/>
          <w:b/>
          <w:bCs/>
          <w:sz w:val="30"/>
          <w:szCs w:val="30"/>
          <w:highlight w:val="none"/>
        </w:rPr>
      </w:pPr>
    </w:p>
    <w:p w14:paraId="5D1EE2F7">
      <w:pPr>
        <w:snapToGrid w:val="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采购代理机构：</w:t>
      </w:r>
      <w:r>
        <w:rPr>
          <w:rFonts w:hint="eastAsia" w:ascii="宋体" w:hAnsi="宋体" w:cs="宋体"/>
          <w:b/>
          <w:bCs/>
          <w:sz w:val="30"/>
          <w:szCs w:val="30"/>
          <w:highlight w:val="none"/>
          <w:lang w:eastAsia="zh-CN"/>
        </w:rPr>
        <w:t>吉林省</w:t>
      </w:r>
      <w:r>
        <w:rPr>
          <w:rFonts w:hint="eastAsia" w:ascii="宋体" w:hAnsi="宋体" w:cs="宋体"/>
          <w:b/>
          <w:bCs/>
          <w:sz w:val="30"/>
          <w:szCs w:val="30"/>
          <w:highlight w:val="none"/>
          <w:lang w:val="en-US" w:eastAsia="zh-CN"/>
        </w:rPr>
        <w:t>驰茗项目管理咨询有限公司</w:t>
      </w:r>
    </w:p>
    <w:p w14:paraId="6A2FF994">
      <w:pPr>
        <w:jc w:val="center"/>
        <w:rPr>
          <w:rFonts w:hint="eastAsia" w:ascii="宋体" w:hAnsi="宋体" w:cs="宋体"/>
          <w:b/>
          <w:bCs/>
          <w:sz w:val="24"/>
          <w:highlight w:val="none"/>
        </w:rPr>
      </w:pPr>
    </w:p>
    <w:p w14:paraId="3D9A7F5D">
      <w:pPr>
        <w:adjustRightInd w:val="0"/>
        <w:snapToGrid w:val="0"/>
        <w:jc w:val="center"/>
        <w:rPr>
          <w:rFonts w:hint="eastAsia" w:ascii="宋体" w:hAnsi="宋体" w:cs="宋体"/>
          <w:b/>
          <w:bCs/>
          <w:sz w:val="24"/>
          <w:highlight w:val="none"/>
        </w:rPr>
      </w:pPr>
    </w:p>
    <w:p w14:paraId="5F32006D">
      <w:pPr>
        <w:adjustRightInd w:val="0"/>
        <w:snapToGrid w:val="0"/>
        <w:jc w:val="center"/>
        <w:rPr>
          <w:rFonts w:hint="default" w:ascii="宋体" w:hAnsi="宋体" w:eastAsia="宋体" w:cs="宋体"/>
          <w:sz w:val="36"/>
          <w:szCs w:val="36"/>
          <w:highlight w:val="none"/>
          <w:lang w:val="en-US" w:eastAsia="zh-CN"/>
        </w:rPr>
        <w:sectPr>
          <w:footerReference r:id="rId4" w:type="default"/>
          <w:headerReference r:id="rId3" w:type="even"/>
          <w:footerReference r:id="rId5" w:type="even"/>
          <w:pgSz w:w="11907" w:h="16840"/>
          <w:pgMar w:top="1440" w:right="1797" w:bottom="1440" w:left="1797" w:header="1304" w:footer="992" w:gutter="0"/>
          <w:pgNumType w:start="1"/>
          <w:cols w:space="720" w:num="1"/>
          <w:docGrid w:linePitch="312" w:charSpace="0"/>
        </w:sectPr>
      </w:pPr>
      <w:r>
        <w:rPr>
          <w:rFonts w:hint="eastAsia" w:ascii="宋体" w:hAnsi="宋体" w:cs="宋体"/>
          <w:b/>
          <w:bCs/>
          <w:sz w:val="30"/>
          <w:szCs w:val="30"/>
          <w:highlight w:val="none"/>
        </w:rPr>
        <w:t>日期：202</w:t>
      </w:r>
      <w:r>
        <w:rPr>
          <w:rFonts w:hint="eastAsia" w:ascii="宋体" w:hAnsi="宋体" w:cs="宋体"/>
          <w:b/>
          <w:bCs/>
          <w:sz w:val="30"/>
          <w:szCs w:val="30"/>
          <w:highlight w:val="none"/>
          <w:lang w:val="en-US" w:eastAsia="zh-CN"/>
        </w:rPr>
        <w:t>5年07月</w:t>
      </w:r>
    </w:p>
    <w:p w14:paraId="6147BACA">
      <w:pPr>
        <w:snapToGrid w:val="0"/>
        <w:jc w:val="both"/>
        <w:rPr>
          <w:rFonts w:hint="eastAsia" w:ascii="宋体" w:hAnsi="宋体" w:cs="宋体"/>
          <w:b/>
          <w:bCs/>
          <w:sz w:val="18"/>
          <w:szCs w:val="18"/>
          <w:highlight w:val="none"/>
        </w:rPr>
      </w:pPr>
    </w:p>
    <w:bookmarkEnd w:id="0"/>
    <w:p w14:paraId="7D305257">
      <w:pPr>
        <w:pStyle w:val="31"/>
        <w:tabs>
          <w:tab w:val="right" w:leader="dot" w:pos="8392"/>
        </w:tabs>
        <w:ind w:left="0"/>
        <w:jc w:val="center"/>
        <w:rPr>
          <w:rFonts w:hint="eastAsia" w:ascii="宋体" w:hAnsi="宋体" w:cs="宋体"/>
          <w:b/>
          <w:bCs/>
          <w:color w:val="000000"/>
          <w:kern w:val="0"/>
          <w:sz w:val="52"/>
          <w:szCs w:val="52"/>
          <w:highlight w:val="none"/>
        </w:rPr>
      </w:pPr>
      <w:r>
        <w:rPr>
          <w:rFonts w:hint="eastAsia" w:ascii="宋体" w:hAnsi="宋体" w:cs="宋体"/>
          <w:b/>
          <w:bCs/>
          <w:color w:val="000000"/>
          <w:kern w:val="0"/>
          <w:sz w:val="52"/>
          <w:szCs w:val="52"/>
          <w:highlight w:val="none"/>
        </w:rPr>
        <w:t>目   录</w:t>
      </w:r>
    </w:p>
    <w:p w14:paraId="1A4F2A7B">
      <w:pPr>
        <w:pStyle w:val="31"/>
        <w:tabs>
          <w:tab w:val="right" w:leader="dot" w:pos="8392"/>
        </w:tabs>
        <w:spacing w:line="480" w:lineRule="auto"/>
        <w:rPr>
          <w:rFonts w:hint="eastAsia" w:ascii="宋体" w:hAnsi="宋体" w:cs="宋体"/>
          <w:b/>
          <w:bCs/>
          <w:color w:val="000000"/>
          <w:kern w:val="0"/>
          <w:sz w:val="32"/>
          <w:szCs w:val="36"/>
          <w:highlight w:val="none"/>
        </w:rPr>
      </w:pPr>
    </w:p>
    <w:p w14:paraId="5CF42164">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ind w:left="210" w:leftChars="100" w:firstLine="482" w:firstLineChars="100"/>
        <w:jc w:val="both"/>
        <w:textAlignment w:val="auto"/>
        <w:rPr>
          <w:b/>
          <w:bCs/>
          <w:sz w:val="36"/>
          <w:szCs w:val="36"/>
          <w:highlight w:val="none"/>
        </w:rPr>
      </w:pPr>
      <w:r>
        <w:rPr>
          <w:rFonts w:hint="eastAsia" w:ascii="宋体" w:hAnsi="宋体" w:cs="宋体"/>
          <w:b/>
          <w:bCs/>
          <w:color w:val="000000"/>
          <w:kern w:val="0"/>
          <w:sz w:val="48"/>
          <w:szCs w:val="48"/>
          <w:highlight w:val="none"/>
        </w:rPr>
        <w:fldChar w:fldCharType="begin"/>
      </w:r>
      <w:r>
        <w:rPr>
          <w:rFonts w:hint="eastAsia" w:ascii="宋体" w:hAnsi="宋体" w:cs="宋体"/>
          <w:b/>
          <w:bCs/>
          <w:color w:val="000000"/>
          <w:kern w:val="0"/>
          <w:sz w:val="48"/>
          <w:szCs w:val="48"/>
          <w:highlight w:val="none"/>
        </w:rPr>
        <w:instrText xml:space="preserve"> TOC \o "1-3" \h \z \u </w:instrText>
      </w:r>
      <w:r>
        <w:rPr>
          <w:rFonts w:hint="eastAsia" w:ascii="宋体" w:hAnsi="宋体" w:cs="宋体"/>
          <w:b/>
          <w:bCs/>
          <w:color w:val="000000"/>
          <w:kern w:val="0"/>
          <w:sz w:val="48"/>
          <w:szCs w:val="48"/>
          <w:highlight w:val="none"/>
        </w:rPr>
        <w:fldChar w:fldCharType="separate"/>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HYPERLINK \l _Toc298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第一章 招标公告</w:t>
      </w:r>
      <w:r>
        <w:rPr>
          <w:rFonts w:hint="eastAsia" w:ascii="宋体" w:hAnsi="宋体" w:eastAsia="宋体" w:cs="宋体"/>
          <w:b/>
          <w:bCs/>
          <w:caps/>
          <w:sz w:val="36"/>
          <w:szCs w:val="56"/>
          <w:highlight w:val="none"/>
          <w:lang w:val="en-US" w:eastAsia="zh-CN"/>
        </w:rPr>
        <w:tab/>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PAGEREF _Toc298 \h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3</w:t>
      </w:r>
      <w:r>
        <w:rPr>
          <w:rFonts w:hint="eastAsia" w:ascii="宋体" w:hAnsi="宋体" w:eastAsia="宋体" w:cs="宋体"/>
          <w:b/>
          <w:bCs/>
          <w:caps/>
          <w:sz w:val="36"/>
          <w:szCs w:val="56"/>
          <w:highlight w:val="none"/>
          <w:lang w:val="en-US" w:eastAsia="zh-CN"/>
        </w:rPr>
        <w:fldChar w:fldCharType="end"/>
      </w:r>
      <w:r>
        <w:rPr>
          <w:rFonts w:hint="eastAsia" w:ascii="宋体" w:hAnsi="宋体" w:eastAsia="宋体" w:cs="宋体"/>
          <w:b/>
          <w:bCs/>
          <w:caps/>
          <w:sz w:val="36"/>
          <w:szCs w:val="56"/>
          <w:highlight w:val="none"/>
          <w:lang w:val="en-US" w:eastAsia="zh-CN"/>
        </w:rPr>
        <w:fldChar w:fldCharType="end"/>
      </w:r>
    </w:p>
    <w:p w14:paraId="01D24A0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_Toc31586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56"/>
          <w:highlight w:val="none"/>
        </w:rPr>
        <w:t>第二章 投标人须知</w:t>
      </w:r>
      <w:r>
        <w:rPr>
          <w:b/>
          <w:bCs/>
          <w:sz w:val="36"/>
          <w:szCs w:val="36"/>
          <w:highlight w:val="none"/>
        </w:rPr>
        <w:tab/>
      </w:r>
      <w:r>
        <w:rPr>
          <w:b/>
          <w:bCs/>
          <w:sz w:val="36"/>
          <w:szCs w:val="36"/>
          <w:highlight w:val="none"/>
        </w:rPr>
        <w:fldChar w:fldCharType="begin"/>
      </w:r>
      <w:r>
        <w:rPr>
          <w:b/>
          <w:bCs/>
          <w:sz w:val="36"/>
          <w:szCs w:val="36"/>
          <w:highlight w:val="none"/>
        </w:rPr>
        <w:instrText xml:space="preserve"> PAGEREF _Toc31586 \h </w:instrText>
      </w:r>
      <w:r>
        <w:rPr>
          <w:b/>
          <w:bCs/>
          <w:sz w:val="36"/>
          <w:szCs w:val="36"/>
          <w:highlight w:val="none"/>
        </w:rPr>
        <w:fldChar w:fldCharType="separate"/>
      </w:r>
      <w:r>
        <w:rPr>
          <w:b/>
          <w:bCs/>
          <w:sz w:val="36"/>
          <w:szCs w:val="36"/>
          <w:highlight w:val="none"/>
        </w:rPr>
        <w:t>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A412FD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_Toc27551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lang w:val="en-US" w:eastAsia="zh-CN"/>
        </w:rPr>
        <w:t xml:space="preserve">第三章 </w:t>
      </w:r>
      <w:r>
        <w:rPr>
          <w:rFonts w:hint="eastAsia" w:ascii="宋体" w:hAnsi="宋体" w:eastAsia="宋体" w:cs="宋体"/>
          <w:b/>
          <w:bCs/>
          <w:sz w:val="36"/>
          <w:szCs w:val="22"/>
          <w:highlight w:val="none"/>
        </w:rPr>
        <w:t>评标办法（综合评分法）</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_Toc27551 \h </w:instrText>
      </w:r>
      <w:r>
        <w:rPr>
          <w:b/>
          <w:bCs/>
          <w:sz w:val="36"/>
          <w:szCs w:val="36"/>
          <w:highlight w:val="none"/>
        </w:rPr>
        <w:fldChar w:fldCharType="separate"/>
      </w:r>
      <w:r>
        <w:rPr>
          <w:b/>
          <w:bCs/>
          <w:sz w:val="36"/>
          <w:szCs w:val="36"/>
          <w:highlight w:val="none"/>
        </w:rPr>
        <w:t>19</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0395871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_Toc22736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4"/>
          <w:highlight w:val="none"/>
        </w:rPr>
        <w:t>第四章 合同条款及格式</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_Toc22736 \h </w:instrText>
      </w:r>
      <w:r>
        <w:rPr>
          <w:b/>
          <w:bCs/>
          <w:sz w:val="36"/>
          <w:szCs w:val="36"/>
          <w:highlight w:val="none"/>
        </w:rPr>
        <w:fldChar w:fldCharType="separate"/>
      </w:r>
      <w:r>
        <w:rPr>
          <w:b/>
          <w:bCs/>
          <w:sz w:val="36"/>
          <w:szCs w:val="36"/>
          <w:highlight w:val="none"/>
        </w:rPr>
        <w:t>27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1CBA765">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_Toc4167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rPr>
        <w:t>第五章 采购需求（服务要求）</w:t>
      </w:r>
      <w:r>
        <w:rPr>
          <w:b/>
          <w:bCs/>
          <w:sz w:val="36"/>
          <w:szCs w:val="36"/>
          <w:highlight w:val="none"/>
        </w:rPr>
        <w:tab/>
      </w:r>
      <w:r>
        <w:rPr>
          <w:rFonts w:hint="eastAsia"/>
          <w:b/>
          <w:bCs/>
          <w:sz w:val="36"/>
          <w:szCs w:val="36"/>
          <w:highlight w:val="none"/>
          <w:lang w:val="en-US" w:eastAsia="zh-CN"/>
        </w:rPr>
        <w:t>28</w:t>
      </w:r>
      <w:r>
        <w:rPr>
          <w:rFonts w:hint="eastAsia" w:ascii="宋体" w:hAnsi="宋体" w:cs="宋体"/>
          <w:b/>
          <w:bCs/>
          <w:color w:val="000000"/>
          <w:kern w:val="0"/>
          <w:sz w:val="36"/>
          <w:szCs w:val="48"/>
          <w:highlight w:val="none"/>
        </w:rPr>
        <w:fldChar w:fldCharType="end"/>
      </w:r>
    </w:p>
    <w:p w14:paraId="07A0ABD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rFonts w:hint="eastAsia" w:eastAsia="宋体"/>
          <w:b/>
          <w:bCs/>
          <w:sz w:val="36"/>
          <w:szCs w:val="36"/>
          <w:highlight w:val="none"/>
          <w:lang w:val="en-US" w:eastAsia="zh-CN"/>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_Toc25373 </w:instrText>
      </w:r>
      <w:r>
        <w:rPr>
          <w:rFonts w:hint="eastAsia" w:ascii="宋体" w:hAnsi="宋体" w:cs="宋体"/>
          <w:b/>
          <w:bCs/>
          <w:kern w:val="0"/>
          <w:sz w:val="36"/>
          <w:szCs w:val="48"/>
          <w:highlight w:val="none"/>
        </w:rPr>
        <w:fldChar w:fldCharType="separate"/>
      </w:r>
      <w:r>
        <w:rPr>
          <w:rFonts w:hint="eastAsia"/>
          <w:b/>
          <w:bCs/>
          <w:sz w:val="36"/>
          <w:szCs w:val="24"/>
          <w:highlight w:val="none"/>
        </w:rPr>
        <w:t>第六章 投标文件格式</w:t>
      </w:r>
      <w:r>
        <w:rPr>
          <w:b/>
          <w:bCs/>
          <w:sz w:val="36"/>
          <w:szCs w:val="36"/>
          <w:highlight w:val="none"/>
        </w:rPr>
        <w:tab/>
      </w:r>
      <w:r>
        <w:rPr>
          <w:rFonts w:hint="eastAsia"/>
          <w:b/>
          <w:bCs/>
          <w:sz w:val="36"/>
          <w:szCs w:val="36"/>
          <w:highlight w:val="none"/>
          <w:lang w:val="en-US" w:eastAsia="zh-CN"/>
        </w:rPr>
        <w:t>4</w:t>
      </w:r>
      <w:r>
        <w:rPr>
          <w:rFonts w:hint="eastAsia" w:ascii="宋体" w:hAnsi="宋体" w:cs="宋体"/>
          <w:b/>
          <w:bCs/>
          <w:color w:val="000000"/>
          <w:kern w:val="0"/>
          <w:sz w:val="36"/>
          <w:szCs w:val="48"/>
          <w:highlight w:val="none"/>
        </w:rPr>
        <w:fldChar w:fldCharType="end"/>
      </w:r>
      <w:r>
        <w:rPr>
          <w:rFonts w:hint="eastAsia" w:cs="宋体"/>
          <w:b/>
          <w:bCs/>
          <w:color w:val="000000"/>
          <w:kern w:val="0"/>
          <w:sz w:val="36"/>
          <w:szCs w:val="48"/>
          <w:highlight w:val="none"/>
          <w:lang w:val="en-US" w:eastAsia="zh-CN"/>
        </w:rPr>
        <w:t>2</w:t>
      </w:r>
    </w:p>
    <w:p w14:paraId="273B4CC2">
      <w:pPr>
        <w:pStyle w:val="31"/>
        <w:keepNext w:val="0"/>
        <w:keepLines w:val="0"/>
        <w:pageBreakBefore w:val="0"/>
        <w:widowControl w:val="0"/>
        <w:tabs>
          <w:tab w:val="right" w:leader="dot" w:pos="8392"/>
        </w:tabs>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32"/>
          <w:szCs w:val="32"/>
          <w:highlight w:val="none"/>
        </w:rPr>
      </w:pPr>
      <w:r>
        <w:rPr>
          <w:rFonts w:hint="eastAsia" w:ascii="宋体" w:hAnsi="宋体" w:cs="宋体"/>
          <w:b/>
          <w:bCs/>
          <w:color w:val="000000"/>
          <w:kern w:val="0"/>
          <w:sz w:val="32"/>
          <w:szCs w:val="48"/>
          <w:highlight w:val="none"/>
        </w:rPr>
        <w:fldChar w:fldCharType="end"/>
      </w:r>
    </w:p>
    <w:p w14:paraId="7EE0F065">
      <w:pPr>
        <w:autoSpaceDE w:val="0"/>
        <w:autoSpaceDN w:val="0"/>
        <w:adjustRightInd w:val="0"/>
        <w:jc w:val="left"/>
        <w:rPr>
          <w:rFonts w:hint="eastAsia" w:ascii="宋体" w:hAnsi="宋体" w:cs="宋体"/>
          <w:color w:val="000000"/>
          <w:kern w:val="0"/>
          <w:sz w:val="32"/>
          <w:szCs w:val="32"/>
          <w:highlight w:val="none"/>
        </w:rPr>
      </w:pPr>
    </w:p>
    <w:p w14:paraId="40CD32CD">
      <w:pPr>
        <w:autoSpaceDE w:val="0"/>
        <w:autoSpaceDN w:val="0"/>
        <w:adjustRightInd w:val="0"/>
        <w:jc w:val="left"/>
        <w:rPr>
          <w:rFonts w:hint="eastAsia" w:ascii="宋体" w:hAnsi="宋体" w:cs="宋体"/>
          <w:color w:val="000000"/>
          <w:kern w:val="0"/>
          <w:sz w:val="32"/>
          <w:szCs w:val="32"/>
          <w:highlight w:val="none"/>
        </w:rPr>
      </w:pPr>
    </w:p>
    <w:p w14:paraId="0614AA72">
      <w:pPr>
        <w:autoSpaceDE w:val="0"/>
        <w:autoSpaceDN w:val="0"/>
        <w:adjustRightInd w:val="0"/>
        <w:jc w:val="left"/>
        <w:rPr>
          <w:rFonts w:hint="eastAsia" w:ascii="宋体" w:hAnsi="宋体" w:cs="宋体"/>
          <w:color w:val="000000"/>
          <w:kern w:val="0"/>
          <w:sz w:val="32"/>
          <w:szCs w:val="32"/>
          <w:highlight w:val="none"/>
        </w:rPr>
      </w:pPr>
    </w:p>
    <w:p w14:paraId="71B66742">
      <w:pPr>
        <w:autoSpaceDE w:val="0"/>
        <w:autoSpaceDN w:val="0"/>
        <w:adjustRightInd w:val="0"/>
        <w:jc w:val="left"/>
        <w:rPr>
          <w:rFonts w:hint="eastAsia" w:ascii="宋体" w:hAnsi="宋体" w:cs="宋体"/>
          <w:color w:val="000000"/>
          <w:kern w:val="0"/>
          <w:sz w:val="32"/>
          <w:szCs w:val="32"/>
          <w:highlight w:val="none"/>
        </w:rPr>
      </w:pPr>
    </w:p>
    <w:p w14:paraId="032EFCF4">
      <w:pPr>
        <w:autoSpaceDE w:val="0"/>
        <w:autoSpaceDN w:val="0"/>
        <w:adjustRightInd w:val="0"/>
        <w:jc w:val="left"/>
        <w:rPr>
          <w:rFonts w:hint="eastAsia" w:ascii="宋体" w:hAnsi="宋体" w:cs="宋体"/>
          <w:color w:val="000000"/>
          <w:kern w:val="0"/>
          <w:sz w:val="32"/>
          <w:szCs w:val="32"/>
          <w:highlight w:val="none"/>
        </w:rPr>
      </w:pPr>
    </w:p>
    <w:p w14:paraId="506849DF">
      <w:pPr>
        <w:autoSpaceDE w:val="0"/>
        <w:autoSpaceDN w:val="0"/>
        <w:adjustRightInd w:val="0"/>
        <w:jc w:val="left"/>
        <w:rPr>
          <w:rFonts w:hint="eastAsia" w:ascii="宋体" w:hAnsi="宋体" w:cs="宋体"/>
          <w:color w:val="000000"/>
          <w:kern w:val="0"/>
          <w:sz w:val="32"/>
          <w:szCs w:val="32"/>
          <w:highlight w:val="none"/>
        </w:rPr>
      </w:pPr>
    </w:p>
    <w:p w14:paraId="18F97E8D">
      <w:pPr>
        <w:autoSpaceDE w:val="0"/>
        <w:autoSpaceDN w:val="0"/>
        <w:adjustRightInd w:val="0"/>
        <w:jc w:val="left"/>
        <w:rPr>
          <w:rFonts w:hint="eastAsia" w:ascii="宋体" w:hAnsi="宋体" w:cs="宋体"/>
          <w:color w:val="000000"/>
          <w:kern w:val="0"/>
          <w:sz w:val="32"/>
          <w:szCs w:val="32"/>
          <w:highlight w:val="none"/>
        </w:rPr>
      </w:pPr>
    </w:p>
    <w:p w14:paraId="191CE8C0">
      <w:pPr>
        <w:autoSpaceDE w:val="0"/>
        <w:autoSpaceDN w:val="0"/>
        <w:adjustRightInd w:val="0"/>
        <w:jc w:val="left"/>
        <w:rPr>
          <w:rFonts w:hint="eastAsia" w:ascii="宋体" w:hAnsi="宋体" w:cs="宋体"/>
          <w:color w:val="000000"/>
          <w:kern w:val="0"/>
          <w:sz w:val="32"/>
          <w:szCs w:val="32"/>
          <w:highlight w:val="none"/>
        </w:rPr>
      </w:pPr>
    </w:p>
    <w:p w14:paraId="6BB54409">
      <w:pPr>
        <w:autoSpaceDE w:val="0"/>
        <w:autoSpaceDN w:val="0"/>
        <w:adjustRightInd w:val="0"/>
        <w:jc w:val="left"/>
        <w:rPr>
          <w:rFonts w:hint="eastAsia" w:ascii="宋体" w:hAnsi="宋体" w:cs="宋体"/>
          <w:color w:val="000000"/>
          <w:kern w:val="0"/>
          <w:sz w:val="32"/>
          <w:szCs w:val="32"/>
          <w:highlight w:val="none"/>
        </w:rPr>
      </w:pPr>
    </w:p>
    <w:p w14:paraId="17854466">
      <w:pPr>
        <w:autoSpaceDE w:val="0"/>
        <w:autoSpaceDN w:val="0"/>
        <w:adjustRightInd w:val="0"/>
        <w:jc w:val="left"/>
        <w:rPr>
          <w:rFonts w:hint="eastAsia" w:ascii="宋体" w:hAnsi="宋体" w:cs="宋体"/>
          <w:color w:val="000000"/>
          <w:kern w:val="0"/>
          <w:sz w:val="32"/>
          <w:szCs w:val="32"/>
          <w:highlight w:val="none"/>
        </w:rPr>
      </w:pPr>
    </w:p>
    <w:p w14:paraId="2441AB0B">
      <w:pPr>
        <w:autoSpaceDE w:val="0"/>
        <w:autoSpaceDN w:val="0"/>
        <w:adjustRightInd w:val="0"/>
        <w:jc w:val="left"/>
        <w:rPr>
          <w:rFonts w:hint="eastAsia" w:ascii="宋体" w:hAnsi="宋体" w:cs="宋体"/>
          <w:color w:val="000000"/>
          <w:kern w:val="0"/>
          <w:sz w:val="32"/>
          <w:szCs w:val="32"/>
          <w:highlight w:val="none"/>
        </w:rPr>
      </w:pPr>
    </w:p>
    <w:p w14:paraId="08BDD897">
      <w:pPr>
        <w:autoSpaceDE w:val="0"/>
        <w:autoSpaceDN w:val="0"/>
        <w:adjustRightInd w:val="0"/>
        <w:jc w:val="left"/>
        <w:rPr>
          <w:rFonts w:hint="eastAsia" w:ascii="宋体" w:hAnsi="宋体" w:cs="宋体"/>
          <w:color w:val="000000"/>
          <w:kern w:val="0"/>
          <w:sz w:val="32"/>
          <w:szCs w:val="32"/>
          <w:highlight w:val="none"/>
        </w:rPr>
      </w:pPr>
    </w:p>
    <w:p w14:paraId="201B2AF6">
      <w:pPr>
        <w:autoSpaceDE w:val="0"/>
        <w:autoSpaceDN w:val="0"/>
        <w:adjustRightInd w:val="0"/>
        <w:jc w:val="left"/>
        <w:rPr>
          <w:rFonts w:hint="eastAsia" w:ascii="宋体" w:hAnsi="宋体" w:cs="宋体"/>
          <w:color w:val="000000"/>
          <w:kern w:val="0"/>
          <w:sz w:val="32"/>
          <w:szCs w:val="32"/>
          <w:highlight w:val="none"/>
        </w:rPr>
      </w:pPr>
    </w:p>
    <w:p w14:paraId="6D958813">
      <w:pPr>
        <w:autoSpaceDE w:val="0"/>
        <w:autoSpaceDN w:val="0"/>
        <w:adjustRightInd w:val="0"/>
        <w:jc w:val="left"/>
        <w:rPr>
          <w:rFonts w:hint="eastAsia" w:ascii="宋体" w:hAnsi="宋体" w:cs="宋体"/>
          <w:color w:val="000000"/>
          <w:kern w:val="0"/>
          <w:sz w:val="32"/>
          <w:szCs w:val="32"/>
          <w:highlight w:val="none"/>
        </w:rPr>
      </w:pPr>
    </w:p>
    <w:p w14:paraId="519BD094">
      <w:pPr>
        <w:autoSpaceDE w:val="0"/>
        <w:autoSpaceDN w:val="0"/>
        <w:adjustRightInd w:val="0"/>
        <w:jc w:val="left"/>
        <w:rPr>
          <w:rFonts w:hint="eastAsia" w:ascii="宋体" w:hAnsi="宋体" w:cs="宋体"/>
          <w:color w:val="000000"/>
          <w:kern w:val="0"/>
          <w:sz w:val="32"/>
          <w:szCs w:val="32"/>
          <w:highlight w:val="none"/>
        </w:rPr>
      </w:pPr>
    </w:p>
    <w:p w14:paraId="7F2ADDD8">
      <w:pPr>
        <w:pStyle w:val="2"/>
        <w:bidi w:val="0"/>
        <w:jc w:val="center"/>
        <w:rPr>
          <w:rFonts w:hint="eastAsia" w:ascii="宋体" w:hAnsi="宋体" w:eastAsia="宋体" w:cs="宋体"/>
          <w:b/>
          <w:bCs/>
          <w:sz w:val="32"/>
          <w:szCs w:val="32"/>
          <w:highlight w:val="none"/>
        </w:rPr>
      </w:pPr>
      <w:bookmarkStart w:id="1" w:name="_Toc298"/>
      <w:bookmarkStart w:id="2" w:name="_Toc230599439"/>
      <w:r>
        <w:rPr>
          <w:rFonts w:hint="eastAsia" w:ascii="宋体" w:hAnsi="宋体" w:eastAsia="宋体" w:cs="宋体"/>
          <w:b/>
          <w:bCs/>
          <w:sz w:val="32"/>
          <w:szCs w:val="32"/>
          <w:highlight w:val="none"/>
          <w:lang w:val="en-US" w:eastAsia="zh-CN"/>
        </w:rPr>
        <w:t>第一章</w:t>
      </w:r>
      <w:r>
        <w:rPr>
          <w:rFonts w:hint="eastAsia" w:ascii="宋体" w:hAnsi="宋体" w:eastAsia="宋体" w:cs="宋体"/>
          <w:b/>
          <w:bCs/>
          <w:sz w:val="32"/>
          <w:szCs w:val="32"/>
          <w:highlight w:val="none"/>
        </w:rPr>
        <w:t xml:space="preserve"> 招标公告</w:t>
      </w:r>
      <w:bookmarkEnd w:id="1"/>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lang w:val="en-US" w:eastAsia="zh-CN"/>
        </w:rPr>
        <w:t>资格后审）</w:t>
      </w:r>
    </w:p>
    <w:p w14:paraId="395E2730">
      <w:pPr>
        <w:rPr>
          <w:rFonts w:hint="eastAsia"/>
          <w:highlight w:val="none"/>
        </w:rPr>
      </w:pPr>
    </w:p>
    <w:p w14:paraId="24549A9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highlight w:val="none"/>
        </w:rPr>
      </w:pPr>
      <w:r>
        <w:rPr>
          <w:rFonts w:hint="eastAsia" w:ascii="宋体" w:hAnsi="宋体"/>
          <w:sz w:val="24"/>
          <w:highlight w:val="none"/>
        </w:rPr>
        <w:t>项目概况</w:t>
      </w:r>
    </w:p>
    <w:p w14:paraId="1F7C6349">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宋体" w:hAnsi="宋体"/>
          <w:sz w:val="24"/>
          <w:highlight w:val="none"/>
        </w:rPr>
      </w:pPr>
      <w:r>
        <w:rPr>
          <w:rFonts w:hint="eastAsia" w:ascii="宋体" w:hAnsi="宋体" w:cs="Times New Roman"/>
          <w:bCs/>
          <w:sz w:val="24"/>
          <w:highlight w:val="none"/>
          <w:lang w:val="en-US" w:eastAsia="zh-CN"/>
        </w:rPr>
        <w:t>2025年汽开区绿化养护管理服务项目</w:t>
      </w:r>
      <w:r>
        <w:rPr>
          <w:rFonts w:hint="eastAsia" w:ascii="宋体" w:hAnsi="宋体"/>
          <w:sz w:val="24"/>
          <w:highlight w:val="none"/>
        </w:rPr>
        <w:t>的</w:t>
      </w:r>
      <w:r>
        <w:rPr>
          <w:rFonts w:hint="eastAsia" w:ascii="宋体" w:hAnsi="宋体"/>
          <w:bCs/>
          <w:sz w:val="24"/>
          <w:highlight w:val="none"/>
        </w:rPr>
        <w:t>潜在投标人应自行登录政府采购云平台（网址：http:// www.zcygov.cn）</w:t>
      </w:r>
      <w:r>
        <w:rPr>
          <w:rFonts w:hint="eastAsia" w:ascii="宋体" w:hAnsi="宋体" w:cs="宋体"/>
          <w:color w:val="000000"/>
          <w:sz w:val="24"/>
          <w:highlight w:val="none"/>
        </w:rPr>
        <w:t>获取（下载）采购文件</w:t>
      </w:r>
      <w:r>
        <w:rPr>
          <w:rFonts w:hint="eastAsia" w:ascii="宋体" w:hAnsi="宋体"/>
          <w:bCs/>
          <w:sz w:val="24"/>
          <w:highlight w:val="none"/>
        </w:rPr>
        <w:t>，并于</w:t>
      </w:r>
      <w:r>
        <w:rPr>
          <w:rFonts w:hint="eastAsia" w:ascii="宋体" w:hAnsi="宋体"/>
          <w:bCs/>
          <w:color w:val="FF0000"/>
          <w:sz w:val="24"/>
          <w:highlight w:val="none"/>
          <w:u w:val="single"/>
          <w:lang w:eastAsia="zh-CN"/>
        </w:rPr>
        <w:t>2025年</w:t>
      </w:r>
      <w:r>
        <w:rPr>
          <w:rFonts w:hint="eastAsia" w:ascii="宋体" w:hAnsi="宋体"/>
          <w:bCs/>
          <w:color w:val="FF0000"/>
          <w:sz w:val="24"/>
          <w:highlight w:val="none"/>
          <w:u w:val="single"/>
          <w:lang w:val="en-US" w:eastAsia="zh-CN"/>
        </w:rPr>
        <w:t>7</w:t>
      </w:r>
      <w:r>
        <w:rPr>
          <w:rFonts w:hint="eastAsia" w:ascii="宋体" w:hAnsi="宋体"/>
          <w:bCs/>
          <w:color w:val="FF0000"/>
          <w:sz w:val="24"/>
          <w:highlight w:val="none"/>
          <w:u w:val="single"/>
          <w:lang w:eastAsia="zh-CN"/>
        </w:rPr>
        <w:t>月</w:t>
      </w:r>
      <w:r>
        <w:rPr>
          <w:rFonts w:hint="eastAsia" w:ascii="宋体" w:hAnsi="宋体"/>
          <w:bCs/>
          <w:color w:val="FF0000"/>
          <w:sz w:val="24"/>
          <w:highlight w:val="none"/>
          <w:u w:val="single"/>
          <w:lang w:val="en-US" w:eastAsia="zh-CN"/>
        </w:rPr>
        <w:t>28</w:t>
      </w:r>
      <w:r>
        <w:rPr>
          <w:rFonts w:hint="eastAsia" w:ascii="宋体" w:hAnsi="宋体"/>
          <w:bCs/>
          <w:color w:val="FF0000"/>
          <w:sz w:val="24"/>
          <w:highlight w:val="none"/>
          <w:u w:val="single"/>
          <w:lang w:eastAsia="zh-CN"/>
        </w:rPr>
        <w:t>日</w:t>
      </w:r>
      <w:r>
        <w:rPr>
          <w:rFonts w:hint="eastAsia" w:ascii="宋体" w:hAnsi="宋体"/>
          <w:bCs/>
          <w:color w:val="FF0000"/>
          <w:sz w:val="24"/>
          <w:highlight w:val="none"/>
          <w:u w:val="single"/>
          <w:lang w:val="en-US" w:eastAsia="zh-CN"/>
        </w:rPr>
        <w:t>9</w:t>
      </w:r>
      <w:r>
        <w:rPr>
          <w:rFonts w:hint="eastAsia" w:ascii="宋体" w:hAnsi="宋体"/>
          <w:bCs/>
          <w:color w:val="FF0000"/>
          <w:sz w:val="24"/>
          <w:highlight w:val="none"/>
          <w:u w:val="single"/>
          <w:lang w:eastAsia="zh-CN"/>
        </w:rPr>
        <w:t>时30分</w:t>
      </w:r>
      <w:r>
        <w:rPr>
          <w:rFonts w:hint="eastAsia" w:ascii="宋体" w:hAnsi="宋体"/>
          <w:bCs/>
          <w:sz w:val="24"/>
          <w:highlight w:val="none"/>
          <w:u w:val="single"/>
          <w:lang w:eastAsia="zh-CN"/>
        </w:rPr>
        <w:t>（北京时间）</w:t>
      </w:r>
      <w:r>
        <w:rPr>
          <w:rFonts w:hint="eastAsia" w:ascii="宋体" w:hAnsi="宋体"/>
          <w:bCs/>
          <w:sz w:val="24"/>
          <w:highlight w:val="none"/>
        </w:rPr>
        <w:t>前提交投标文件。</w:t>
      </w:r>
    </w:p>
    <w:p w14:paraId="22A21E22">
      <w:pPr>
        <w:rPr>
          <w:rFonts w:hint="eastAsia"/>
          <w:highlight w:val="none"/>
        </w:rPr>
      </w:pPr>
    </w:p>
    <w:p w14:paraId="53BF505D">
      <w:pPr>
        <w:pStyle w:val="35"/>
        <w:shd w:val="clear" w:color="auto" w:fill="FFFFFF"/>
        <w:spacing w:before="0" w:beforeAutospacing="0" w:after="0" w:afterAutospacing="0" w:line="360" w:lineRule="auto"/>
        <w:ind w:firstLine="420"/>
        <w:jc w:val="both"/>
        <w:rPr>
          <w:rFonts w:cs="宋体"/>
          <w:szCs w:val="24"/>
          <w:highlight w:val="none"/>
        </w:rPr>
      </w:pPr>
      <w:r>
        <w:rPr>
          <w:rFonts w:cs="宋体"/>
          <w:szCs w:val="24"/>
          <w:highlight w:val="none"/>
          <w:shd w:val="clear" w:color="auto" w:fill="FFFFFF"/>
        </w:rPr>
        <w:t>一、项目基本情况</w:t>
      </w:r>
    </w:p>
    <w:p w14:paraId="5A2EA268">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cs="宋体"/>
          <w:kern w:val="2"/>
          <w:szCs w:val="24"/>
          <w:highlight w:val="none"/>
        </w:rPr>
        <w:t>1.项目编号：</w:t>
      </w:r>
      <w:r>
        <w:rPr>
          <w:rFonts w:hint="eastAsia" w:cs="宋体"/>
          <w:kern w:val="2"/>
          <w:szCs w:val="24"/>
          <w:highlight w:val="none"/>
          <w:lang w:val="en-US" w:eastAsia="zh-CN"/>
        </w:rPr>
        <w:t>采购项目-【2025】-00198号</w:t>
      </w:r>
    </w:p>
    <w:p w14:paraId="4CA0080B">
      <w:pPr>
        <w:pStyle w:val="35"/>
        <w:shd w:val="clear" w:color="auto" w:fill="FFFFFF"/>
        <w:spacing w:before="0" w:beforeAutospacing="0" w:after="0" w:afterAutospacing="0" w:line="360" w:lineRule="auto"/>
        <w:ind w:firstLine="420"/>
        <w:jc w:val="both"/>
        <w:rPr>
          <w:rFonts w:hint="eastAsia" w:cs="宋体"/>
          <w:kern w:val="2"/>
          <w:szCs w:val="24"/>
          <w:highlight w:val="none"/>
          <w:lang w:val="en-US" w:eastAsia="zh-CN"/>
        </w:rPr>
      </w:pPr>
      <w:r>
        <w:rPr>
          <w:rFonts w:cs="宋体"/>
          <w:kern w:val="2"/>
          <w:szCs w:val="24"/>
          <w:highlight w:val="none"/>
        </w:rPr>
        <w:t>2.项目名称：</w:t>
      </w:r>
      <w:r>
        <w:rPr>
          <w:rFonts w:hint="eastAsia" w:cs="宋体"/>
          <w:kern w:val="2"/>
          <w:szCs w:val="24"/>
          <w:highlight w:val="none"/>
          <w:lang w:val="en-US" w:eastAsia="zh-CN"/>
        </w:rPr>
        <w:t>2025年汽开区绿化养护管理服务</w:t>
      </w:r>
    </w:p>
    <w:p w14:paraId="12A719D4">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hint="eastAsia" w:cs="宋体"/>
          <w:kern w:val="2"/>
          <w:szCs w:val="24"/>
          <w:highlight w:val="none"/>
          <w:lang w:val="en-US" w:eastAsia="zh-CN"/>
        </w:rPr>
        <w:t>3.标段划分：本项目六个标段</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440"/>
        <w:gridCol w:w="2275"/>
        <w:gridCol w:w="1536"/>
        <w:gridCol w:w="1536"/>
      </w:tblGrid>
      <w:tr w14:paraId="7F01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6DE5392B">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标段名称</w:t>
            </w:r>
          </w:p>
        </w:tc>
        <w:tc>
          <w:tcPr>
            <w:tcW w:w="1440" w:type="dxa"/>
            <w:vAlign w:val="center"/>
          </w:tcPr>
          <w:p w14:paraId="79ED6EE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标段编号</w:t>
            </w:r>
          </w:p>
        </w:tc>
        <w:tc>
          <w:tcPr>
            <w:tcW w:w="2275" w:type="dxa"/>
            <w:vAlign w:val="center"/>
          </w:tcPr>
          <w:p w14:paraId="563F79F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服务要求</w:t>
            </w:r>
          </w:p>
        </w:tc>
        <w:tc>
          <w:tcPr>
            <w:tcW w:w="1536" w:type="dxa"/>
            <w:vAlign w:val="center"/>
          </w:tcPr>
          <w:p w14:paraId="713F5075">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 xml:space="preserve">预算金额 </w:t>
            </w:r>
          </w:p>
          <w:p w14:paraId="6C2C5B6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c>
          <w:tcPr>
            <w:tcW w:w="1536" w:type="dxa"/>
            <w:vAlign w:val="center"/>
          </w:tcPr>
          <w:p w14:paraId="3FCCF4F3">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最高限价</w:t>
            </w:r>
          </w:p>
          <w:p w14:paraId="0166DF2D">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r>
      <w:tr w14:paraId="7D32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3171D2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2025年汽开区绿化养护管理服务一标段</w:t>
            </w:r>
          </w:p>
        </w:tc>
        <w:tc>
          <w:tcPr>
            <w:tcW w:w="1440" w:type="dxa"/>
            <w:vAlign w:val="center"/>
          </w:tcPr>
          <w:p w14:paraId="7AED009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-1</w:t>
            </w:r>
          </w:p>
        </w:tc>
        <w:tc>
          <w:tcPr>
            <w:tcW w:w="2275" w:type="dxa"/>
            <w:vAlign w:val="center"/>
          </w:tcPr>
          <w:p w14:paraId="1C557B0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丰采街、星宇街、丰硕路、首善大路、建达路（含22年工程）、前程路（含建设局工程）、丰发街（含22年工程）、华展街（含22年工程）、丰富路、安庆路（含马拉松）、锦程大街、杨柳大街、飞跃路（含马拉松）、安顺路、长沈路、奔驰路、革新路、东锦路、振兴路、安康路、50街区绿地、丰越大路（含建设局工程）、大众路、东风南街、明鑫路、老警备路。</w:t>
            </w:r>
          </w:p>
        </w:tc>
        <w:tc>
          <w:tcPr>
            <w:tcW w:w="1536" w:type="dxa"/>
            <w:vAlign w:val="center"/>
          </w:tcPr>
          <w:p w14:paraId="1B9BEE8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c>
          <w:tcPr>
            <w:tcW w:w="1536" w:type="dxa"/>
            <w:vAlign w:val="center"/>
          </w:tcPr>
          <w:p w14:paraId="5C9C56E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r>
      <w:tr w14:paraId="1186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0E06FE8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2025年汽开区绿化养护管理服务二标段</w:t>
            </w:r>
          </w:p>
        </w:tc>
        <w:tc>
          <w:tcPr>
            <w:tcW w:w="1440" w:type="dxa"/>
            <w:vAlign w:val="center"/>
          </w:tcPr>
          <w:p w14:paraId="1899588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-2</w:t>
            </w:r>
          </w:p>
        </w:tc>
        <w:tc>
          <w:tcPr>
            <w:tcW w:w="2275" w:type="dxa"/>
            <w:shd w:val="clear" w:color="auto" w:fill="auto"/>
            <w:vAlign w:val="center"/>
          </w:tcPr>
          <w:p w14:paraId="61B1E8E2">
            <w:pPr>
              <w:keepNext w:val="0"/>
              <w:keepLines w:val="0"/>
              <w:suppressLineNumbers w:val="0"/>
              <w:spacing w:before="0" w:beforeAutospacing="0" w:after="0" w:afterAutospacing="0"/>
              <w:ind w:left="0" w:right="0"/>
              <w:jc w:val="center"/>
              <w:rPr>
                <w:rFonts w:hint="default" w:ascii="Times New Roman" w:hAnsi="Times New Roman" w:eastAsia="宋体" w:cs="宋体"/>
                <w:kern w:val="2"/>
                <w:sz w:val="21"/>
                <w:szCs w:val="21"/>
                <w:highlight w:val="none"/>
                <w:lang w:val="en-US" w:eastAsia="zh-CN" w:bidi="ar-SA"/>
              </w:rPr>
            </w:pPr>
            <w:r>
              <w:rPr>
                <w:rFonts w:hint="eastAsia" w:cs="宋体"/>
                <w:kern w:val="2"/>
                <w:sz w:val="21"/>
                <w:szCs w:val="21"/>
                <w:highlight w:val="none"/>
                <w:lang w:val="en-US" w:eastAsia="zh-CN"/>
              </w:rPr>
              <w:t>乙七街（建设局-中铁城西侧师大附中西湖学校门口）、大众街、三角广场、昆仑一路、昆仑二路、文光路、文明路、迎春路、迎春南路、迎春北路、长青路（含马拉松）、日新路、春城大街、创业大街（含马拉松、国税局绿化工程）、正阳街、支农大街、九院胡同、香苑路、大桥南广场、恒信路、春光路、越野路（含马拉松）、西环城路、正阳广场（含马拉松）、开平街、佳森街、森雅路（含建设局工程、22年工程）、佳宝路、乙三路、和谐大街、景阳大路、南阳路、红领巾路、高力北路、高力中路、高力南路、速腾路、洛阳路、康泰街、康宁路、自立街、和平大街、四联大街、四联一路、洛阳西街、自兴路、二十二北路、教育广场。</w:t>
            </w:r>
          </w:p>
        </w:tc>
        <w:tc>
          <w:tcPr>
            <w:tcW w:w="1536" w:type="dxa"/>
            <w:vAlign w:val="center"/>
          </w:tcPr>
          <w:p w14:paraId="48F7781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c>
          <w:tcPr>
            <w:tcW w:w="1536" w:type="dxa"/>
            <w:vAlign w:val="center"/>
          </w:tcPr>
          <w:p w14:paraId="6DD6EDA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r>
      <w:tr w14:paraId="2DE5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30C11950">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2025年汽开区绿化养护管理服务三标段</w:t>
            </w:r>
          </w:p>
        </w:tc>
        <w:tc>
          <w:tcPr>
            <w:tcW w:w="1440" w:type="dxa"/>
            <w:vAlign w:val="center"/>
          </w:tcPr>
          <w:p w14:paraId="74A38E38">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-3</w:t>
            </w:r>
          </w:p>
        </w:tc>
        <w:tc>
          <w:tcPr>
            <w:tcW w:w="2275" w:type="dxa"/>
            <w:vAlign w:val="center"/>
          </w:tcPr>
          <w:p w14:paraId="389917F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骏派街（东风大街-丙二十六路）、丙二十六路（丙五街至乙三街）、丙二十六路(乙三街至前场路）、丙二十九路（丙五街至乙三街）、丙二十九路（乙三街至前程路)、丙二十六路至东风大街、乙三街（丙二十六路-东风大街）、乙十路、俊派街、丙三十五路（富学路）、东风大街、兴安路（含马拉松）、红旗广场、椰林公园、丙三街、丙五路、丙六街、丙七街、垃圾转运站、污水处理厂辅路、丙三十七路、富奥大路、乙一路。</w:t>
            </w:r>
          </w:p>
        </w:tc>
        <w:tc>
          <w:tcPr>
            <w:tcW w:w="1536" w:type="dxa"/>
            <w:vAlign w:val="center"/>
          </w:tcPr>
          <w:p w14:paraId="1F1DE80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c>
          <w:tcPr>
            <w:tcW w:w="1536" w:type="dxa"/>
            <w:vAlign w:val="center"/>
          </w:tcPr>
          <w:p w14:paraId="7FCDA84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r>
      <w:tr w14:paraId="0D48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82C013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2025年汽开区绿化养护管理服务四标段</w:t>
            </w:r>
          </w:p>
        </w:tc>
        <w:tc>
          <w:tcPr>
            <w:tcW w:w="1440" w:type="dxa"/>
            <w:vAlign w:val="center"/>
          </w:tcPr>
          <w:p w14:paraId="3347DCA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-4</w:t>
            </w:r>
          </w:p>
        </w:tc>
        <w:tc>
          <w:tcPr>
            <w:tcW w:w="2275" w:type="dxa"/>
            <w:vAlign w:val="center"/>
          </w:tcPr>
          <w:p w14:paraId="329F78E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西湖大路（含马拉松）、兴达路、大洲广场、无名路（奔腾瑞马单位北墙）、腾飞南路、宝来街、明达路、高尔夫路、凯达南街、兴顺路、河滨北路、迈腾街、奔腾街、丙二十一街、锦绣公园、锦程公园。</w:t>
            </w:r>
          </w:p>
        </w:tc>
        <w:tc>
          <w:tcPr>
            <w:tcW w:w="1536" w:type="dxa"/>
            <w:vAlign w:val="center"/>
          </w:tcPr>
          <w:p w14:paraId="102E785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c>
          <w:tcPr>
            <w:tcW w:w="1536" w:type="dxa"/>
            <w:vAlign w:val="center"/>
          </w:tcPr>
          <w:p w14:paraId="50F3FD0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r>
      <w:tr w14:paraId="212E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7864C7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2025年汽开区绿化养护管理服务五标段</w:t>
            </w:r>
          </w:p>
        </w:tc>
        <w:tc>
          <w:tcPr>
            <w:tcW w:w="1440" w:type="dxa"/>
            <w:vAlign w:val="center"/>
          </w:tcPr>
          <w:p w14:paraId="516A62C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-5</w:t>
            </w:r>
          </w:p>
        </w:tc>
        <w:tc>
          <w:tcPr>
            <w:tcW w:w="2275" w:type="dxa"/>
            <w:vAlign w:val="center"/>
          </w:tcPr>
          <w:p w14:paraId="02995DB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汽车大路、万达周边、万达广场、香缇路、薇姿街、威乐路、西昌路（含马拉松）、汽车公园周边、管委会周边、管委会东侧华航绿化彩化、管委会北侧绿化彩化、河滨东街。</w:t>
            </w:r>
          </w:p>
        </w:tc>
        <w:tc>
          <w:tcPr>
            <w:tcW w:w="1536" w:type="dxa"/>
            <w:vAlign w:val="center"/>
          </w:tcPr>
          <w:p w14:paraId="71E5CE0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c>
          <w:tcPr>
            <w:tcW w:w="1536" w:type="dxa"/>
            <w:vAlign w:val="center"/>
          </w:tcPr>
          <w:p w14:paraId="3796FF12">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r>
      <w:tr w14:paraId="72B8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267832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2025年汽开区绿化养护管理服务六标段</w:t>
            </w:r>
          </w:p>
        </w:tc>
        <w:tc>
          <w:tcPr>
            <w:tcW w:w="1440" w:type="dxa"/>
            <w:vAlign w:val="center"/>
          </w:tcPr>
          <w:p w14:paraId="17AFC08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-6</w:t>
            </w:r>
          </w:p>
        </w:tc>
        <w:tc>
          <w:tcPr>
            <w:tcW w:w="2275" w:type="dxa"/>
            <w:vAlign w:val="center"/>
          </w:tcPr>
          <w:p w14:paraId="4684237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富民大街、通达路（含建设局工程）、岱山公园、共青团花园、西新大街、自主大路、自达大街（含22年工程）、夏利路（含22年工程）、常富街（含22年工程）、长虹大路、首创大路（含马拉松）、威驰街（含22年工程）、常兴街、凯达北街（含22年工程）、捷达大路、捷达广场（含22年工程）。</w:t>
            </w:r>
          </w:p>
        </w:tc>
        <w:tc>
          <w:tcPr>
            <w:tcW w:w="1536" w:type="dxa"/>
            <w:vAlign w:val="center"/>
          </w:tcPr>
          <w:p w14:paraId="436423C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c>
          <w:tcPr>
            <w:tcW w:w="1536" w:type="dxa"/>
            <w:vAlign w:val="center"/>
          </w:tcPr>
          <w:p w14:paraId="785758D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r>
      <w:tr w14:paraId="6F2B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Pr>
          <w:p w14:paraId="705A844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以上六个标段服务内容，具体详见工程量清单。</w:t>
            </w:r>
          </w:p>
        </w:tc>
      </w:tr>
    </w:tbl>
    <w:p w14:paraId="5D185A15">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p>
    <w:p w14:paraId="58A809C0">
      <w:pPr>
        <w:pStyle w:val="35"/>
        <w:shd w:val="clear" w:color="auto" w:fill="FFFFFF"/>
        <w:spacing w:before="0" w:beforeAutospacing="0" w:after="0" w:afterAutospacing="0" w:line="360" w:lineRule="auto"/>
        <w:ind w:firstLine="420"/>
        <w:jc w:val="both"/>
        <w:rPr>
          <w:rFonts w:cs="宋体"/>
          <w:kern w:val="2"/>
          <w:szCs w:val="24"/>
          <w:highlight w:val="none"/>
        </w:rPr>
      </w:pPr>
      <w:r>
        <w:rPr>
          <w:rFonts w:hint="eastAsia" w:cs="宋体"/>
          <w:kern w:val="2"/>
          <w:szCs w:val="24"/>
          <w:highlight w:val="none"/>
          <w:lang w:val="en-US" w:eastAsia="zh-CN"/>
        </w:rPr>
        <w:t>4</w:t>
      </w:r>
      <w:r>
        <w:rPr>
          <w:rFonts w:cs="宋体"/>
          <w:kern w:val="2"/>
          <w:szCs w:val="24"/>
          <w:highlight w:val="none"/>
        </w:rPr>
        <w:t>.合同履行期限：</w:t>
      </w:r>
      <w:r>
        <w:rPr>
          <w:rFonts w:hint="eastAsia" w:ascii="宋体" w:hAnsi="宋体"/>
          <w:b w:val="0"/>
          <w:bCs/>
          <w:sz w:val="24"/>
          <w:szCs w:val="24"/>
          <w:highlight w:val="none"/>
        </w:rPr>
        <w:t>自合同签订之日起一年</w:t>
      </w:r>
    </w:p>
    <w:p w14:paraId="6EF8A85A">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5</w:t>
      </w:r>
      <w:r>
        <w:rPr>
          <w:rFonts w:cs="宋体"/>
          <w:color w:val="auto"/>
          <w:kern w:val="2"/>
          <w:szCs w:val="24"/>
          <w:highlight w:val="none"/>
        </w:rPr>
        <w:t>.服务地点：采购人指定</w:t>
      </w:r>
      <w:r>
        <w:rPr>
          <w:rFonts w:hint="eastAsia" w:cs="宋体"/>
          <w:color w:val="auto"/>
          <w:kern w:val="2"/>
          <w:szCs w:val="24"/>
          <w:highlight w:val="none"/>
          <w:lang w:val="en-US" w:eastAsia="zh-CN"/>
        </w:rPr>
        <w:t>地点</w:t>
      </w:r>
      <w:r>
        <w:rPr>
          <w:rFonts w:cs="宋体"/>
          <w:color w:val="auto"/>
          <w:kern w:val="2"/>
          <w:szCs w:val="24"/>
          <w:highlight w:val="none"/>
        </w:rPr>
        <w:t>。</w:t>
      </w:r>
    </w:p>
    <w:p w14:paraId="4CC9D2AD">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6</w:t>
      </w:r>
      <w:r>
        <w:rPr>
          <w:rFonts w:cs="宋体"/>
          <w:color w:val="auto"/>
          <w:kern w:val="2"/>
          <w:szCs w:val="24"/>
          <w:highlight w:val="none"/>
        </w:rPr>
        <w:t>.</w:t>
      </w:r>
      <w:r>
        <w:rPr>
          <w:rFonts w:hint="eastAsia" w:ascii="宋体" w:hAnsi="宋体" w:cs="宋体"/>
          <w:szCs w:val="21"/>
          <w:highlight w:val="none"/>
        </w:rPr>
        <w:t>服务质量</w:t>
      </w:r>
      <w:r>
        <w:rPr>
          <w:rFonts w:cs="宋体"/>
          <w:color w:val="auto"/>
          <w:kern w:val="2"/>
          <w:szCs w:val="24"/>
          <w:highlight w:val="none"/>
        </w:rPr>
        <w:t>：</w:t>
      </w:r>
      <w:r>
        <w:rPr>
          <w:rFonts w:hint="eastAsia" w:cs="宋体"/>
          <w:color w:val="auto"/>
          <w:kern w:val="2"/>
          <w:szCs w:val="24"/>
          <w:highlight w:val="none"/>
          <w:lang w:val="en-US" w:eastAsia="zh-CN"/>
        </w:rPr>
        <w:t>绿化养护一级标准</w:t>
      </w:r>
      <w:r>
        <w:rPr>
          <w:rFonts w:cs="宋体"/>
          <w:color w:val="auto"/>
          <w:kern w:val="2"/>
          <w:szCs w:val="24"/>
          <w:highlight w:val="none"/>
        </w:rPr>
        <w:t>。</w:t>
      </w:r>
    </w:p>
    <w:p w14:paraId="18AE801A">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cs="宋体"/>
          <w:kern w:val="2"/>
          <w:szCs w:val="24"/>
          <w:highlight w:val="none"/>
          <w:lang w:val="en-US" w:eastAsia="zh-CN"/>
        </w:rPr>
        <w:t>7</w:t>
      </w:r>
      <w:r>
        <w:rPr>
          <w:rFonts w:cs="宋体"/>
          <w:kern w:val="2"/>
          <w:szCs w:val="24"/>
          <w:highlight w:val="none"/>
        </w:rPr>
        <w:t>.本项目</w:t>
      </w:r>
      <w:r>
        <w:rPr>
          <w:rFonts w:cs="宋体"/>
          <w:kern w:val="2"/>
          <w:szCs w:val="24"/>
          <w:highlight w:val="none"/>
          <w:u w:val="single"/>
        </w:rPr>
        <w:t>不接受</w:t>
      </w:r>
      <w:r>
        <w:rPr>
          <w:rFonts w:cs="宋体"/>
          <w:kern w:val="2"/>
          <w:szCs w:val="24"/>
          <w:highlight w:val="none"/>
        </w:rPr>
        <w:t>联合体投标</w:t>
      </w:r>
      <w:r>
        <w:rPr>
          <w:rFonts w:hint="eastAsia" w:cs="宋体"/>
          <w:kern w:val="2"/>
          <w:szCs w:val="24"/>
          <w:highlight w:val="none"/>
          <w:lang w:eastAsia="zh-CN"/>
        </w:rPr>
        <w:t>。</w:t>
      </w:r>
    </w:p>
    <w:p w14:paraId="1C3A1CF2">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ascii="宋体" w:hAnsi="宋体" w:eastAsia="宋体" w:cs="宋体"/>
          <w:szCs w:val="21"/>
          <w:highlight w:val="none"/>
          <w:lang w:val="en-US" w:eastAsia="zh-CN"/>
        </w:rPr>
        <w:t>8.本项目可兼投不可兼中。</w:t>
      </w:r>
    </w:p>
    <w:p w14:paraId="4A3DC0C8">
      <w:pPr>
        <w:pStyle w:val="35"/>
        <w:shd w:val="clear" w:color="auto" w:fill="FFFFFF"/>
        <w:spacing w:before="0" w:beforeAutospacing="0" w:after="0" w:afterAutospacing="0" w:line="360" w:lineRule="auto"/>
        <w:ind w:firstLine="420"/>
        <w:jc w:val="both"/>
        <w:rPr>
          <w:rFonts w:cs="宋体"/>
          <w:kern w:val="2"/>
          <w:szCs w:val="24"/>
          <w:highlight w:val="none"/>
        </w:rPr>
      </w:pPr>
      <w:r>
        <w:rPr>
          <w:rFonts w:cs="宋体"/>
          <w:kern w:val="2"/>
          <w:szCs w:val="24"/>
          <w:highlight w:val="none"/>
        </w:rPr>
        <w:t>二、申请人的资格要求：</w:t>
      </w:r>
    </w:p>
    <w:p w14:paraId="0C04078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1.满足《中华人民共和国政府采购法》第二十二条规定。</w:t>
      </w:r>
    </w:p>
    <w:p w14:paraId="51ED532A">
      <w:pPr>
        <w:autoSpaceDE w:val="0"/>
        <w:autoSpaceDN w:val="0"/>
        <w:adjustRightInd w:val="0"/>
        <w:snapToGrid w:val="0"/>
        <w:spacing w:line="360" w:lineRule="auto"/>
        <w:ind w:left="479" w:leftChars="228"/>
        <w:jc w:val="left"/>
        <w:rPr>
          <w:rFonts w:hint="eastAsia" w:ascii="宋体" w:hAnsi="宋体" w:cs="宋体"/>
          <w:sz w:val="24"/>
          <w:highlight w:val="none"/>
        </w:rPr>
      </w:pPr>
      <w:r>
        <w:rPr>
          <w:rFonts w:hint="eastAsia" w:ascii="宋体" w:hAnsi="宋体" w:cs="宋体"/>
          <w:sz w:val="24"/>
          <w:highlight w:val="none"/>
        </w:rPr>
        <w:t>2.落实政府采购政策需满足的资格要求：本项目</w:t>
      </w:r>
      <w:r>
        <w:rPr>
          <w:rFonts w:hint="eastAsia" w:ascii="宋体" w:hAnsi="宋体" w:cs="宋体"/>
          <w:sz w:val="24"/>
          <w:highlight w:val="none"/>
          <w:lang w:val="en-US" w:eastAsia="zh-CN"/>
        </w:rPr>
        <w:t>一标段和二标段专门面向小微企业采购，三标段、四标段、五标段、六标段</w:t>
      </w:r>
      <w:r>
        <w:rPr>
          <w:rFonts w:hint="eastAsia" w:ascii="宋体" w:hAnsi="宋体" w:cs="宋体"/>
          <w:sz w:val="24"/>
          <w:highlight w:val="none"/>
        </w:rPr>
        <w:t>专门面向中小企业采购；</w:t>
      </w:r>
    </w:p>
    <w:p w14:paraId="034E6BD3">
      <w:pPr>
        <w:autoSpaceDE w:val="0"/>
        <w:autoSpaceDN w:val="0"/>
        <w:adjustRightInd w:val="0"/>
        <w:snapToGrid w:val="0"/>
        <w:spacing w:line="360" w:lineRule="auto"/>
        <w:ind w:left="479" w:leftChars="228"/>
        <w:jc w:val="left"/>
        <w:rPr>
          <w:rFonts w:hint="eastAsia" w:ascii="宋体" w:hAnsi="宋体" w:cs="宋体"/>
          <w:bCs/>
          <w:color w:val="000000"/>
          <w:sz w:val="24"/>
          <w:highlight w:val="none"/>
          <w:lang w:val="zh-CN"/>
        </w:rPr>
      </w:pPr>
      <w:r>
        <w:rPr>
          <w:rFonts w:ascii="宋体" w:hAnsi="宋体" w:cs="宋体"/>
          <w:sz w:val="24"/>
          <w:highlight w:val="none"/>
        </w:rPr>
        <w:t xml:space="preserve"> </w:t>
      </w:r>
      <w:r>
        <w:rPr>
          <w:rFonts w:hint="eastAsia" w:ascii="宋体" w:hAnsi="宋体" w:cs="宋体"/>
          <w:bCs/>
          <w:color w:val="000000"/>
          <w:sz w:val="24"/>
          <w:highlight w:val="none"/>
        </w:rPr>
        <w:t>2.1</w:t>
      </w:r>
      <w:r>
        <w:rPr>
          <w:rFonts w:hint="eastAsia" w:ascii="宋体" w:hAnsi="宋体" w:cs="宋体"/>
          <w:bCs/>
          <w:color w:val="000000"/>
          <w:sz w:val="24"/>
          <w:highlight w:val="none"/>
          <w:lang w:val="zh-CN"/>
        </w:rPr>
        <w:t>《政府采购促进中小企业发展管理办法》（财库[2020]46号）；</w:t>
      </w:r>
    </w:p>
    <w:p w14:paraId="537CF87A">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2.2</w:t>
      </w:r>
      <w:r>
        <w:rPr>
          <w:rFonts w:hint="eastAsia" w:ascii="宋体" w:hAnsi="宋体" w:cs="宋体"/>
          <w:bCs/>
          <w:color w:val="000000"/>
          <w:sz w:val="24"/>
          <w:highlight w:val="none"/>
          <w:lang w:val="zh-CN"/>
        </w:rPr>
        <w:t>《财政部司法部关于政府采购支持监狱企业发展有关问题的通知》（财库[2014]68号）；</w:t>
      </w:r>
    </w:p>
    <w:p w14:paraId="26AA8CDC">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2.3</w:t>
      </w:r>
      <w:r>
        <w:rPr>
          <w:rFonts w:hint="eastAsia" w:ascii="宋体" w:hAnsi="宋体" w:cs="宋体"/>
          <w:bCs/>
          <w:color w:val="000000"/>
          <w:sz w:val="24"/>
          <w:highlight w:val="none"/>
          <w:lang w:val="zh-CN"/>
        </w:rPr>
        <w:t>《关于促进残疾人就业政府采购政策的通知》（财库〔2017〕141号）；</w:t>
      </w:r>
    </w:p>
    <w:p w14:paraId="5EBC26A1">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2.4</w:t>
      </w:r>
      <w:r>
        <w:rPr>
          <w:rFonts w:hint="eastAsia" w:ascii="宋体" w:hAnsi="宋体" w:cs="宋体"/>
          <w:bCs/>
          <w:color w:val="000000"/>
          <w:sz w:val="24"/>
          <w:highlight w:val="none"/>
          <w:lang w:val="zh-CN"/>
        </w:rPr>
        <w:t>《国务院办公厅关于建立政府强制采购节能产品制度的通知》（国办发[2007]51号）；</w:t>
      </w:r>
    </w:p>
    <w:p w14:paraId="202701BB">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2.5</w:t>
      </w:r>
      <w:r>
        <w:rPr>
          <w:rFonts w:hint="eastAsia" w:ascii="宋体" w:hAnsi="宋体" w:cs="宋体"/>
          <w:bCs/>
          <w:color w:val="000000"/>
          <w:sz w:val="24"/>
          <w:highlight w:val="none"/>
          <w:lang w:val="zh-CN"/>
        </w:rPr>
        <w:t>《环境标志产品政府采购实施意见》（财库[2006]90号）；</w:t>
      </w:r>
    </w:p>
    <w:p w14:paraId="64162F28">
      <w:pPr>
        <w:spacing w:line="360" w:lineRule="auto"/>
        <w:ind w:firstLine="480" w:firstLineChars="200"/>
        <w:rPr>
          <w:rFonts w:hint="eastAsia" w:ascii="宋体" w:hAnsi="宋体" w:cs="宋体"/>
          <w:bCs/>
          <w:color w:val="000000"/>
          <w:sz w:val="24"/>
          <w:highlight w:val="none"/>
          <w:lang w:val="zh-CN"/>
        </w:rPr>
      </w:pPr>
      <w:r>
        <w:rPr>
          <w:rFonts w:hint="eastAsia" w:ascii="宋体" w:hAnsi="宋体" w:cs="宋体"/>
          <w:bCs/>
          <w:color w:val="000000"/>
          <w:sz w:val="24"/>
          <w:highlight w:val="none"/>
        </w:rPr>
        <w:t>2.6</w:t>
      </w:r>
      <w:r>
        <w:rPr>
          <w:rFonts w:hint="eastAsia" w:ascii="宋体" w:hAnsi="宋体" w:cs="宋体"/>
          <w:bCs/>
          <w:color w:val="000000"/>
          <w:sz w:val="24"/>
          <w:highlight w:val="none"/>
          <w:lang w:val="zh-CN"/>
        </w:rPr>
        <w:t>《关于进一步加大政府采购支持中小企业力度的通知》财库〔2022〕19号文件等国家最新政策。</w:t>
      </w:r>
    </w:p>
    <w:p w14:paraId="1AF0C4D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3.本项目的特定资格要求：</w:t>
      </w:r>
    </w:p>
    <w:p w14:paraId="0E4312A2">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3.1投标申请人须在中华人民共和国境内注册，能够独立承担民事责任的法人、其他组织或者自然人，能够独立承担民事责任，具有有效的营业执照，并在人员、设备、资金等方面具有相应的服务能力</w:t>
      </w:r>
      <w:r>
        <w:rPr>
          <w:rFonts w:hint="eastAsia" w:ascii="宋体" w:hAnsi="宋体" w:cs="宋体"/>
          <w:sz w:val="24"/>
          <w:highlight w:val="none"/>
          <w:lang w:eastAsia="zh-CN"/>
        </w:rPr>
        <w:t>。</w:t>
      </w:r>
    </w:p>
    <w:p w14:paraId="2242EB0B">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项目经理要求：具备绿化相关专业中级及以上技术职称，为本单位在职人员且无在建工程。</w:t>
      </w:r>
    </w:p>
    <w:p w14:paraId="3BA7209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3</w:t>
      </w:r>
      <w:r>
        <w:rPr>
          <w:rFonts w:hint="eastAsia" w:ascii="宋体" w:hAnsi="宋体" w:cs="宋体"/>
          <w:sz w:val="24"/>
          <w:highlight w:val="none"/>
        </w:rPr>
        <w:t>具有良好的商业信誉和健全的财务会计制度，依法缴纳税收和社会保障资金的良好记录，根据[长财采购[2022]2066号文件]关于加强政府采购信用体系建设简化供应商资格条件有关事项的通知提供资格条件承诺函。</w:t>
      </w:r>
    </w:p>
    <w:p w14:paraId="30D33C2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4</w:t>
      </w:r>
      <w:r>
        <w:rPr>
          <w:rFonts w:hint="eastAsia" w:ascii="宋体" w:hAnsi="宋体" w:cs="宋体"/>
          <w:sz w:val="24"/>
          <w:highlight w:val="none"/>
        </w:rPr>
        <w:t>参加政府采购活动前3年内在经营活动中没有重大违法记录。</w:t>
      </w:r>
    </w:p>
    <w:p w14:paraId="79DE272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5</w:t>
      </w:r>
      <w:r>
        <w:rPr>
          <w:rFonts w:hint="eastAsia" w:ascii="宋体" w:hAnsi="宋体" w:cs="宋体"/>
          <w:sz w:val="24"/>
          <w:highlight w:val="none"/>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2F111C6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6</w:t>
      </w:r>
      <w:r>
        <w:rPr>
          <w:rFonts w:hint="eastAsia" w:ascii="宋体" w:hAnsi="宋体" w:cs="宋体"/>
          <w:sz w:val="24"/>
          <w:highlight w:val="none"/>
        </w:rPr>
        <w:t>拒绝列入政府取消投标资格记录期间的企业或个人投标,在“信用中国”网站（www.creditchina.gov.cn）、中国政府采购网（www.ccgp.gov.cn）对列入失信被执行人、重大税收违法失信主体名单、政府采购严重违法失信行为记录名单的投标人，拒绝其参与投标。</w:t>
      </w:r>
    </w:p>
    <w:p w14:paraId="74B25297">
      <w:pPr>
        <w:pStyle w:val="37"/>
        <w:rPr>
          <w:rFonts w:hint="eastAsia"/>
          <w:highlight w:val="none"/>
        </w:rPr>
      </w:pPr>
      <w:r>
        <w:rPr>
          <w:rFonts w:hint="eastAsia"/>
          <w:highlight w:val="none"/>
        </w:rPr>
        <w:t>3.7本次招标不接受以分公司名义投标。</w:t>
      </w:r>
    </w:p>
    <w:p w14:paraId="22C776A1">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 xml:space="preserve"> 三、获取招标文件</w:t>
      </w:r>
    </w:p>
    <w:p w14:paraId="04C78A0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1.时间：</w:t>
      </w:r>
      <w:r>
        <w:rPr>
          <w:rFonts w:hint="eastAsia" w:ascii="宋体" w:hAnsi="宋体" w:cs="宋体"/>
          <w:color w:val="FF0000"/>
          <w:sz w:val="24"/>
          <w:highlight w:val="none"/>
        </w:rPr>
        <w:t>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04</w:t>
      </w:r>
      <w:r>
        <w:rPr>
          <w:rFonts w:hint="eastAsia" w:ascii="宋体" w:hAnsi="宋体" w:cs="宋体"/>
          <w:color w:val="FF0000"/>
          <w:sz w:val="24"/>
          <w:highlight w:val="none"/>
        </w:rPr>
        <w:t>日至202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11</w:t>
      </w:r>
      <w:r>
        <w:rPr>
          <w:rFonts w:hint="eastAsia" w:ascii="宋体" w:hAnsi="宋体" w:cs="宋体"/>
          <w:color w:val="FF0000"/>
          <w:sz w:val="24"/>
          <w:highlight w:val="none"/>
        </w:rPr>
        <w:t>日，每天上午</w:t>
      </w:r>
      <w:r>
        <w:rPr>
          <w:rFonts w:hint="eastAsia" w:ascii="宋体" w:hAnsi="宋体" w:cs="宋体"/>
          <w:color w:val="FF0000"/>
          <w:sz w:val="24"/>
          <w:highlight w:val="none"/>
          <w:lang w:val="en-US" w:eastAsia="zh-CN"/>
        </w:rPr>
        <w:t>8</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至1</w:t>
      </w:r>
      <w:r>
        <w:rPr>
          <w:rFonts w:hint="eastAsia" w:ascii="宋体" w:hAnsi="宋体" w:cs="宋体"/>
          <w:color w:val="FF0000"/>
          <w:sz w:val="24"/>
          <w:highlight w:val="none"/>
          <w:lang w:val="en-US" w:eastAsia="zh-CN"/>
        </w:rPr>
        <w:t>1</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，下午</w:t>
      </w:r>
      <w:r>
        <w:rPr>
          <w:rFonts w:hint="eastAsia" w:ascii="宋体" w:hAnsi="宋体" w:cs="宋体"/>
          <w:color w:val="FF0000"/>
          <w:sz w:val="24"/>
          <w:highlight w:val="none"/>
          <w:lang w:val="en-US" w:eastAsia="zh-CN"/>
        </w:rPr>
        <w:t>13</w:t>
      </w:r>
      <w:r>
        <w:rPr>
          <w:rFonts w:hint="eastAsia" w:ascii="宋体" w:hAnsi="宋体" w:cs="宋体"/>
          <w:color w:val="FF0000"/>
          <w:sz w:val="24"/>
          <w:highlight w:val="none"/>
        </w:rPr>
        <w:t>:00至</w:t>
      </w:r>
      <w:r>
        <w:rPr>
          <w:rFonts w:hint="eastAsia" w:ascii="宋体" w:hAnsi="宋体" w:cs="宋体"/>
          <w:color w:val="FF0000"/>
          <w:sz w:val="24"/>
          <w:highlight w:val="none"/>
          <w:lang w:val="en-US" w:eastAsia="zh-CN"/>
        </w:rPr>
        <w:t>16:00</w:t>
      </w:r>
      <w:r>
        <w:rPr>
          <w:rFonts w:hint="eastAsia" w:ascii="宋体" w:hAnsi="宋体" w:cs="宋体"/>
          <w:sz w:val="24"/>
          <w:highlight w:val="none"/>
        </w:rPr>
        <w:t>（北京时间，法定节假日均可线上获取）；</w:t>
      </w:r>
    </w:p>
    <w:p w14:paraId="28A6458F">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2.方式：网上免费获取，潜在投标人自行登录政府采购云平台网上注册并下载招标文件，其他途径获取的招标文件开标时一律按无效投标处理。</w:t>
      </w:r>
    </w:p>
    <w:p w14:paraId="47303DB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四、提交投标文件截止时间、开标时间和地点</w:t>
      </w:r>
    </w:p>
    <w:p w14:paraId="18738AA6">
      <w:pPr>
        <w:spacing w:line="360" w:lineRule="auto"/>
        <w:ind w:firstLine="480" w:firstLineChars="200"/>
        <w:rPr>
          <w:rFonts w:hint="eastAsia" w:ascii="宋体" w:hAnsi="宋体" w:eastAsia="宋体" w:cs="宋体"/>
          <w:color w:val="FF0000"/>
          <w:sz w:val="24"/>
          <w:highlight w:val="none"/>
          <w:lang w:eastAsia="zh-CN"/>
        </w:rPr>
      </w:pPr>
      <w:r>
        <w:rPr>
          <w:rFonts w:hint="eastAsia" w:ascii="宋体" w:hAnsi="宋体" w:cs="宋体"/>
          <w:color w:val="FF0000"/>
          <w:sz w:val="24"/>
          <w:highlight w:val="none"/>
        </w:rPr>
        <w:t>1.截止时间：</w:t>
      </w:r>
      <w:r>
        <w:rPr>
          <w:rFonts w:hint="eastAsia" w:ascii="宋体" w:hAnsi="宋体" w:cs="宋体"/>
          <w:color w:val="FF0000"/>
          <w:sz w:val="24"/>
          <w:highlight w:val="none"/>
          <w:lang w:eastAsia="zh-CN"/>
        </w:rPr>
        <w:t>2025年</w:t>
      </w:r>
      <w:r>
        <w:rPr>
          <w:rFonts w:hint="eastAsia" w:ascii="宋体" w:hAnsi="宋体" w:cs="宋体"/>
          <w:color w:val="FF0000"/>
          <w:sz w:val="24"/>
          <w:highlight w:val="none"/>
          <w:lang w:val="en-US" w:eastAsia="zh-CN"/>
        </w:rPr>
        <w:t>7</w:t>
      </w:r>
      <w:r>
        <w:rPr>
          <w:rFonts w:hint="eastAsia" w:ascii="宋体" w:hAnsi="宋体" w:cs="宋体"/>
          <w:color w:val="FF0000"/>
          <w:sz w:val="24"/>
          <w:highlight w:val="none"/>
          <w:lang w:eastAsia="zh-CN"/>
        </w:rPr>
        <w:t>月</w:t>
      </w:r>
      <w:r>
        <w:rPr>
          <w:rFonts w:hint="eastAsia" w:ascii="宋体" w:hAnsi="宋体" w:cs="宋体"/>
          <w:color w:val="FF0000"/>
          <w:sz w:val="24"/>
          <w:highlight w:val="none"/>
          <w:lang w:val="en-US" w:eastAsia="zh-CN"/>
        </w:rPr>
        <w:t>28</w:t>
      </w:r>
      <w:r>
        <w:rPr>
          <w:rFonts w:hint="eastAsia" w:ascii="宋体" w:hAnsi="宋体" w:cs="宋体"/>
          <w:color w:val="FF0000"/>
          <w:sz w:val="24"/>
          <w:highlight w:val="none"/>
          <w:lang w:eastAsia="zh-CN"/>
        </w:rPr>
        <w:t>日</w:t>
      </w:r>
      <w:r>
        <w:rPr>
          <w:rFonts w:hint="eastAsia" w:ascii="宋体" w:hAnsi="宋体" w:cs="宋体"/>
          <w:color w:val="FF0000"/>
          <w:sz w:val="24"/>
          <w:highlight w:val="none"/>
          <w:lang w:val="en-US" w:eastAsia="zh-CN"/>
        </w:rPr>
        <w:t>9</w:t>
      </w:r>
      <w:r>
        <w:rPr>
          <w:rFonts w:hint="eastAsia" w:ascii="宋体" w:hAnsi="宋体" w:cs="宋体"/>
          <w:color w:val="FF0000"/>
          <w:sz w:val="24"/>
          <w:highlight w:val="none"/>
          <w:lang w:eastAsia="zh-CN"/>
        </w:rPr>
        <w:t>时30分（北京时间）</w:t>
      </w:r>
    </w:p>
    <w:p w14:paraId="3EBF142C">
      <w:pPr>
        <w:spacing w:line="360" w:lineRule="auto"/>
        <w:ind w:firstLine="480" w:firstLineChars="200"/>
        <w:rPr>
          <w:rFonts w:hint="eastAsia" w:ascii="宋体" w:hAnsi="宋体" w:cs="宋体"/>
          <w:color w:val="FF0000"/>
          <w:sz w:val="24"/>
          <w:highlight w:val="none"/>
        </w:rPr>
      </w:pPr>
      <w:r>
        <w:rPr>
          <w:rFonts w:hint="eastAsia" w:ascii="宋体" w:hAnsi="宋体" w:cs="宋体"/>
          <w:color w:val="FF0000"/>
          <w:sz w:val="24"/>
          <w:highlight w:val="none"/>
        </w:rPr>
        <w:t>2.地点：长春市二道区洋浦大街6999号</w:t>
      </w:r>
      <w:r>
        <w:rPr>
          <w:rFonts w:hint="eastAsia" w:ascii="宋体" w:hAnsi="宋体" w:cs="宋体"/>
          <w:color w:val="FF0000"/>
          <w:sz w:val="24"/>
          <w:highlight w:val="none"/>
          <w:lang w:eastAsia="zh-CN"/>
        </w:rPr>
        <w:t>凯利中心二楼开标</w:t>
      </w:r>
      <w:r>
        <w:rPr>
          <w:rFonts w:hint="eastAsia" w:ascii="宋体" w:hAnsi="宋体" w:cs="宋体"/>
          <w:color w:val="FF0000"/>
          <w:sz w:val="24"/>
          <w:highlight w:val="none"/>
          <w:lang w:val="en-US" w:eastAsia="zh-CN"/>
        </w:rPr>
        <w:t>一</w:t>
      </w:r>
      <w:r>
        <w:rPr>
          <w:rFonts w:hint="eastAsia" w:ascii="宋体" w:hAnsi="宋体" w:cs="宋体"/>
          <w:color w:val="FF0000"/>
          <w:sz w:val="24"/>
          <w:highlight w:val="none"/>
          <w:lang w:eastAsia="zh-CN"/>
        </w:rPr>
        <w:t>室</w:t>
      </w:r>
      <w:r>
        <w:rPr>
          <w:rFonts w:hint="eastAsia" w:ascii="宋体" w:hAnsi="宋体" w:cs="宋体"/>
          <w:color w:val="FF0000"/>
          <w:sz w:val="24"/>
          <w:highlight w:val="none"/>
        </w:rPr>
        <w:t xml:space="preserve"> </w:t>
      </w:r>
    </w:p>
    <w:p w14:paraId="0EA72989">
      <w:pPr>
        <w:spacing w:line="360" w:lineRule="auto"/>
        <w:ind w:firstLine="480" w:firstLineChars="200"/>
        <w:rPr>
          <w:rFonts w:hint="eastAsia" w:ascii="宋体" w:hAnsi="宋体"/>
          <w:sz w:val="24"/>
          <w:highlight w:val="none"/>
        </w:rPr>
      </w:pPr>
      <w:r>
        <w:rPr>
          <w:rFonts w:hint="eastAsia" w:ascii="宋体" w:hAnsi="宋体"/>
          <w:sz w:val="24"/>
          <w:highlight w:val="none"/>
        </w:rPr>
        <w:t>3.本项目采用全流程电子化采购，需通过政府采购云平台递交电子投标文件。</w:t>
      </w:r>
    </w:p>
    <w:p w14:paraId="4B5EE652">
      <w:pPr>
        <w:spacing w:line="360" w:lineRule="auto"/>
        <w:ind w:firstLine="480" w:firstLineChars="200"/>
        <w:rPr>
          <w:rFonts w:hint="eastAsia" w:ascii="宋体" w:hAnsi="宋体"/>
          <w:sz w:val="24"/>
          <w:highlight w:val="none"/>
        </w:rPr>
      </w:pPr>
      <w:r>
        <w:rPr>
          <w:rFonts w:hint="eastAsia" w:ascii="宋体" w:hAnsi="宋体"/>
          <w:sz w:val="24"/>
          <w:highlight w:val="none"/>
        </w:rPr>
        <w:t>4.操作流程：投标人在政府采购云平台注册入库成为正式供应商后，在平台按《政府采购项目电子交易管理操作指南-供应商》进行操作。由于投标人自身原因在递交投标文件截止时间前无法完成办理的，后果自负。</w:t>
      </w:r>
    </w:p>
    <w:p w14:paraId="543BB90F">
      <w:pPr>
        <w:spacing w:line="360" w:lineRule="auto"/>
        <w:ind w:firstLine="480" w:firstLineChars="200"/>
        <w:rPr>
          <w:rFonts w:hint="eastAsia" w:ascii="宋体" w:hAnsi="宋体"/>
          <w:sz w:val="24"/>
          <w:highlight w:val="none"/>
        </w:rPr>
      </w:pPr>
      <w:r>
        <w:rPr>
          <w:rFonts w:hint="eastAsia" w:ascii="宋体" w:hAnsi="宋体"/>
          <w:sz w:val="24"/>
          <w:highlight w:val="none"/>
        </w:rPr>
        <w:t>五、公告期限</w:t>
      </w:r>
    </w:p>
    <w:p w14:paraId="7E9A8434">
      <w:pPr>
        <w:spacing w:line="360" w:lineRule="auto"/>
        <w:ind w:firstLine="480" w:firstLineChars="200"/>
        <w:rPr>
          <w:rFonts w:hint="eastAsia" w:ascii="宋体" w:hAnsi="宋体"/>
          <w:sz w:val="24"/>
          <w:highlight w:val="none"/>
        </w:rPr>
      </w:pPr>
      <w:r>
        <w:rPr>
          <w:rFonts w:hint="eastAsia" w:ascii="宋体" w:hAnsi="宋体"/>
          <w:sz w:val="24"/>
          <w:highlight w:val="none"/>
        </w:rPr>
        <w:t>自本公告发布之日起5个工作日。</w:t>
      </w:r>
    </w:p>
    <w:p w14:paraId="63175812">
      <w:pPr>
        <w:spacing w:line="360" w:lineRule="auto"/>
        <w:ind w:firstLine="480" w:firstLineChars="200"/>
        <w:rPr>
          <w:rFonts w:hint="eastAsia" w:ascii="宋体" w:hAnsi="宋体"/>
          <w:sz w:val="24"/>
          <w:highlight w:val="none"/>
        </w:rPr>
      </w:pPr>
      <w:r>
        <w:rPr>
          <w:rFonts w:hint="eastAsia" w:ascii="宋体" w:hAnsi="宋体"/>
          <w:sz w:val="24"/>
          <w:highlight w:val="none"/>
        </w:rPr>
        <w:t>六、其他补充事宜</w:t>
      </w:r>
    </w:p>
    <w:p w14:paraId="3A76DAA4">
      <w:pPr>
        <w:spacing w:line="360" w:lineRule="auto"/>
        <w:ind w:firstLine="480" w:firstLineChars="200"/>
        <w:rPr>
          <w:rFonts w:hint="eastAsia" w:ascii="宋体" w:hAnsi="宋体" w:eastAsia="宋体" w:cs="Times New Roman"/>
          <w:sz w:val="24"/>
          <w:highlight w:val="none"/>
        </w:rPr>
      </w:pPr>
      <w:bookmarkStart w:id="3" w:name="_Toc35393627"/>
      <w:bookmarkStart w:id="4" w:name="_Toc28359008"/>
      <w:bookmarkStart w:id="5" w:name="_Toc35393796"/>
      <w:bookmarkStart w:id="6" w:name="_Toc28359085"/>
      <w:r>
        <w:rPr>
          <w:rFonts w:hint="eastAsia" w:ascii="宋体" w:hAnsi="宋体" w:eastAsia="宋体" w:cs="Times New Roman"/>
          <w:sz w:val="24"/>
          <w:highlight w:val="none"/>
        </w:rPr>
        <w:t> 1.本次公告在“政采云”平台 (http:// www.zcygov.cn) （推送至吉林省政府采购网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中国政府采购网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上发布。</w:t>
      </w:r>
    </w:p>
    <w:p w14:paraId="38640BBF">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 2.有效投标人不足三家时，招标人另行组织招标。</w:t>
      </w:r>
    </w:p>
    <w:p w14:paraId="5EE5FA0F">
      <w:pPr>
        <w:spacing w:line="360" w:lineRule="auto"/>
        <w:ind w:firstLine="480" w:firstLineChars="200"/>
        <w:rPr>
          <w:rFonts w:hint="eastAsia" w:ascii="宋体" w:hAnsi="宋体"/>
          <w:sz w:val="24"/>
          <w:highlight w:val="none"/>
        </w:rPr>
      </w:pPr>
      <w:r>
        <w:rPr>
          <w:rFonts w:hint="eastAsia" w:ascii="宋体" w:hAnsi="宋体"/>
          <w:sz w:val="24"/>
          <w:highlight w:val="none"/>
        </w:rPr>
        <w:t>七、对本次招标提出询问，请按以下方式联系</w:t>
      </w:r>
      <w:bookmarkEnd w:id="3"/>
      <w:bookmarkEnd w:id="4"/>
      <w:bookmarkEnd w:id="5"/>
      <w:bookmarkEnd w:id="6"/>
      <w:r>
        <w:rPr>
          <w:rFonts w:hint="eastAsia" w:ascii="宋体" w:hAnsi="宋体"/>
          <w:sz w:val="24"/>
          <w:highlight w:val="none"/>
        </w:rPr>
        <w:t>：</w:t>
      </w:r>
    </w:p>
    <w:p w14:paraId="50A4A655">
      <w:pPr>
        <w:spacing w:line="360" w:lineRule="auto"/>
        <w:ind w:firstLine="480" w:firstLineChars="200"/>
        <w:rPr>
          <w:rFonts w:hint="eastAsia" w:ascii="宋体" w:hAnsi="宋体"/>
          <w:sz w:val="24"/>
          <w:highlight w:val="none"/>
        </w:rPr>
      </w:pPr>
      <w:r>
        <w:rPr>
          <w:rFonts w:hint="eastAsia" w:ascii="宋体" w:hAnsi="宋体"/>
          <w:sz w:val="24"/>
          <w:highlight w:val="none"/>
        </w:rPr>
        <w:t>1.采购人信息</w:t>
      </w:r>
    </w:p>
    <w:p w14:paraId="4C368497">
      <w:pPr>
        <w:spacing w:line="360" w:lineRule="auto"/>
        <w:ind w:firstLine="480" w:firstLineChars="200"/>
        <w:rPr>
          <w:rFonts w:hint="eastAsia" w:ascii="宋体" w:hAnsi="宋体" w:cs="Times New Roman"/>
          <w:sz w:val="24"/>
          <w:highlight w:val="none"/>
        </w:rPr>
      </w:pPr>
      <w:bookmarkStart w:id="7" w:name="_Toc28359086"/>
      <w:bookmarkStart w:id="8" w:name="_Toc28359009"/>
      <w:r>
        <w:rPr>
          <w:rFonts w:hint="eastAsia" w:ascii="宋体" w:hAnsi="宋体"/>
          <w:sz w:val="24"/>
          <w:highlight w:val="none"/>
        </w:rPr>
        <w:t>名 称：</w:t>
      </w:r>
      <w:r>
        <w:rPr>
          <w:rFonts w:hint="eastAsia" w:ascii="宋体" w:hAnsi="宋体" w:cs="Times New Roman"/>
          <w:sz w:val="24"/>
          <w:highlight w:val="none"/>
          <w:lang w:val="en-US" w:eastAsia="zh-CN"/>
        </w:rPr>
        <w:t>长春汽车经济技术开发区住房保障和房屋管理局</w:t>
      </w:r>
      <w:r>
        <w:rPr>
          <w:rFonts w:hint="eastAsia" w:ascii="宋体" w:hAnsi="宋体" w:cs="Times New Roman"/>
          <w:sz w:val="24"/>
          <w:highlight w:val="none"/>
        </w:rPr>
        <w:t> </w:t>
      </w:r>
    </w:p>
    <w:p w14:paraId="5D54480A">
      <w:pPr>
        <w:spacing w:line="360" w:lineRule="auto"/>
        <w:ind w:firstLine="480" w:firstLineChars="200"/>
        <w:rPr>
          <w:rFonts w:hint="eastAsia" w:ascii="宋体" w:hAnsi="宋体" w:cs="Times New Roman"/>
          <w:sz w:val="24"/>
          <w:highlight w:val="none"/>
          <w:lang w:val="en-US" w:eastAsia="zh-CN"/>
        </w:rPr>
      </w:pPr>
      <w:r>
        <w:rPr>
          <w:rFonts w:hint="eastAsia" w:ascii="宋体" w:hAnsi="宋体" w:cs="Times New Roman"/>
          <w:sz w:val="24"/>
          <w:highlight w:val="none"/>
        </w:rPr>
        <w:t>地址：</w:t>
      </w:r>
      <w:bookmarkEnd w:id="7"/>
      <w:bookmarkEnd w:id="8"/>
      <w:r>
        <w:rPr>
          <w:rFonts w:hint="eastAsia" w:ascii="宋体" w:hAnsi="宋体" w:cs="Times New Roman"/>
          <w:sz w:val="24"/>
          <w:highlight w:val="none"/>
          <w:lang w:val="en-US" w:eastAsia="zh-CN"/>
        </w:rPr>
        <w:t>汽车大厦(东风大街7766号)</w:t>
      </w:r>
    </w:p>
    <w:p w14:paraId="1E9F5750">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联系方式：</w:t>
      </w:r>
      <w:r>
        <w:rPr>
          <w:rFonts w:hint="eastAsia" w:ascii="宋体" w:hAnsi="宋体"/>
          <w:sz w:val="24"/>
          <w:highlight w:val="none"/>
          <w:lang w:val="en-US" w:eastAsia="zh-CN"/>
        </w:rPr>
        <w:t>赵文斐  0431-81501540</w:t>
      </w:r>
    </w:p>
    <w:p w14:paraId="0F53C6E7">
      <w:pPr>
        <w:spacing w:line="360" w:lineRule="auto"/>
        <w:ind w:firstLine="480" w:firstLineChars="200"/>
        <w:rPr>
          <w:rFonts w:hint="eastAsia" w:ascii="宋体" w:hAnsi="宋体"/>
          <w:sz w:val="24"/>
          <w:highlight w:val="none"/>
        </w:rPr>
      </w:pPr>
      <w:r>
        <w:rPr>
          <w:rFonts w:hint="eastAsia" w:ascii="宋体" w:hAnsi="宋体"/>
          <w:sz w:val="24"/>
          <w:highlight w:val="none"/>
        </w:rPr>
        <w:t>2.采购代理机构信息</w:t>
      </w:r>
    </w:p>
    <w:p w14:paraId="53211959">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名 称：</w:t>
      </w:r>
      <w:r>
        <w:rPr>
          <w:rFonts w:hint="eastAsia" w:ascii="宋体" w:hAnsi="宋体"/>
          <w:sz w:val="24"/>
          <w:highlight w:val="none"/>
          <w:lang w:eastAsia="zh-CN"/>
        </w:rPr>
        <w:t>吉林省</w:t>
      </w:r>
      <w:r>
        <w:rPr>
          <w:rFonts w:hint="eastAsia" w:ascii="宋体" w:hAnsi="宋体"/>
          <w:sz w:val="24"/>
          <w:highlight w:val="none"/>
          <w:lang w:val="en-US" w:eastAsia="zh-CN"/>
        </w:rPr>
        <w:t>驰茗项目管理咨询有限公司</w:t>
      </w:r>
    </w:p>
    <w:p w14:paraId="662CD811">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地址：</w:t>
      </w:r>
      <w:r>
        <w:rPr>
          <w:rFonts w:hint="eastAsia" w:ascii="宋体" w:hAnsi="宋体" w:cs="宋体"/>
          <w:sz w:val="24"/>
          <w:highlight w:val="none"/>
          <w:lang w:eastAsia="zh-CN"/>
        </w:rPr>
        <w:t>长春市天合路与生态大街交汇明宇公寓B1栋2514室</w:t>
      </w:r>
      <w:r>
        <w:rPr>
          <w:rFonts w:hint="eastAsia" w:ascii="宋体" w:hAnsi="宋体"/>
          <w:color w:val="auto"/>
          <w:sz w:val="24"/>
          <w:highlight w:val="none"/>
          <w:lang w:val="en-US" w:eastAsia="zh-CN"/>
        </w:rPr>
        <w:t xml:space="preserve"> </w:t>
      </w:r>
    </w:p>
    <w:p w14:paraId="4D5F7EA7">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 xml:space="preserve">0431-85651560 </w:t>
      </w:r>
      <w:r>
        <w:rPr>
          <w:rFonts w:hint="eastAsia" w:ascii="宋体" w:hAnsi="宋体"/>
          <w:sz w:val="24"/>
          <w:highlight w:val="none"/>
          <w:lang w:val="en-US" w:eastAsia="zh-CN"/>
        </w:rPr>
        <w:t xml:space="preserve"> </w:t>
      </w:r>
    </w:p>
    <w:p w14:paraId="0B5FCA3E">
      <w:pPr>
        <w:spacing w:line="360" w:lineRule="auto"/>
        <w:ind w:firstLine="480" w:firstLineChars="200"/>
        <w:rPr>
          <w:rFonts w:hint="eastAsia" w:ascii="宋体" w:hAnsi="宋体"/>
          <w:sz w:val="24"/>
          <w:highlight w:val="none"/>
        </w:rPr>
      </w:pPr>
      <w:r>
        <w:rPr>
          <w:rFonts w:hint="eastAsia" w:ascii="宋体" w:hAnsi="宋体"/>
          <w:sz w:val="24"/>
          <w:highlight w:val="none"/>
        </w:rPr>
        <w:t>3.项目联系方式</w:t>
      </w:r>
    </w:p>
    <w:p w14:paraId="16A3F98E">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联系人：赵龙、孟颖</w:t>
      </w:r>
      <w:r>
        <w:rPr>
          <w:rFonts w:hint="eastAsia" w:ascii="宋体" w:hAnsi="宋体" w:eastAsia="宋体" w:cs="宋体"/>
          <w:sz w:val="24"/>
          <w:highlight w:val="none"/>
          <w:lang w:val="en-US" w:eastAsia="zh-CN"/>
        </w:rPr>
        <w:t xml:space="preserve"> </w:t>
      </w:r>
    </w:p>
    <w:p w14:paraId="02A7EB61">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0431-85651560</w:t>
      </w:r>
      <w:r>
        <w:rPr>
          <w:rFonts w:hint="eastAsia" w:ascii="宋体" w:hAnsi="宋体" w:eastAsia="宋体" w:cs="宋体"/>
          <w:sz w:val="24"/>
          <w:highlight w:val="none"/>
          <w:lang w:val="en-US" w:eastAsia="zh-CN"/>
        </w:rPr>
        <w:t xml:space="preserve"> </w:t>
      </w:r>
    </w:p>
    <w:p w14:paraId="65A57482">
      <w:pPr>
        <w:numPr>
          <w:ilvl w:val="0"/>
          <w:numId w:val="3"/>
        </w:numPr>
        <w:spacing w:line="360" w:lineRule="auto"/>
        <w:ind w:firstLine="480" w:firstLineChars="200"/>
        <w:rPr>
          <w:rFonts w:hint="eastAsia" w:ascii="宋体" w:hAnsi="宋体"/>
          <w:sz w:val="24"/>
          <w:highlight w:val="none"/>
        </w:rPr>
      </w:pPr>
      <w:r>
        <w:rPr>
          <w:rFonts w:hint="eastAsia" w:ascii="宋体" w:hAnsi="宋体"/>
          <w:sz w:val="24"/>
          <w:highlight w:val="none"/>
        </w:rPr>
        <w:t>监督联系方式</w:t>
      </w:r>
    </w:p>
    <w:p w14:paraId="153B6CA2">
      <w:pPr>
        <w:numPr>
          <w:ilvl w:val="0"/>
          <w:numId w:val="0"/>
        </w:numPr>
        <w:spacing w:line="360" w:lineRule="auto"/>
        <w:ind w:firstLine="480" w:firstLineChars="200"/>
        <w:rPr>
          <w:highlight w:val="none"/>
        </w:rPr>
      </w:pPr>
      <w:r>
        <w:rPr>
          <w:rFonts w:hint="eastAsia" w:ascii="宋体" w:hAnsi="宋体"/>
          <w:sz w:val="24"/>
          <w:highlight w:val="none"/>
        </w:rPr>
        <w:t>监督管理部门：长春</w:t>
      </w:r>
      <w:r>
        <w:rPr>
          <w:rFonts w:hint="eastAsia" w:ascii="宋体" w:hAnsi="宋体"/>
          <w:sz w:val="24"/>
          <w:highlight w:val="none"/>
          <w:lang w:val="en-US" w:eastAsia="zh-CN"/>
        </w:rPr>
        <w:t>汽车经济技术开发区财政局</w:t>
      </w:r>
    </w:p>
    <w:p w14:paraId="143A80AC">
      <w:pPr>
        <w:pStyle w:val="33"/>
        <w:jc w:val="both"/>
        <w:rPr>
          <w:rFonts w:hint="eastAsia" w:ascii="宋体" w:hAnsi="宋体" w:cs="宋体"/>
          <w:color w:val="000000"/>
          <w:szCs w:val="21"/>
          <w:highlight w:val="none"/>
        </w:rPr>
      </w:pPr>
    </w:p>
    <w:bookmarkEnd w:id="2"/>
    <w:p w14:paraId="4D4458A2">
      <w:pPr>
        <w:pStyle w:val="2"/>
        <w:numPr>
          <w:ilvl w:val="0"/>
          <w:numId w:val="0"/>
        </w:numPr>
        <w:bidi w:val="0"/>
        <w:ind w:leftChars="0"/>
        <w:jc w:val="center"/>
        <w:rPr>
          <w:rFonts w:hint="eastAsia" w:ascii="宋体" w:hAnsi="宋体" w:eastAsia="宋体" w:cs="宋体"/>
          <w:b/>
          <w:bCs/>
          <w:sz w:val="36"/>
          <w:szCs w:val="36"/>
          <w:highlight w:val="none"/>
        </w:rPr>
      </w:pPr>
      <w:bookmarkStart w:id="9" w:name="_Toc31586"/>
      <w:bookmarkStart w:id="10" w:name="_Toc230599440"/>
      <w:r>
        <w:rPr>
          <w:rFonts w:hint="eastAsia" w:ascii="宋体" w:hAnsi="宋体" w:eastAsia="宋体" w:cs="宋体"/>
          <w:b/>
          <w:bCs/>
          <w:sz w:val="36"/>
          <w:szCs w:val="36"/>
          <w:highlight w:val="none"/>
        </w:rPr>
        <w:t>第二章 投标人须知</w:t>
      </w:r>
      <w:bookmarkEnd w:id="9"/>
    </w:p>
    <w:p w14:paraId="4D82DBA7">
      <w:pPr>
        <w:autoSpaceDE w:val="0"/>
        <w:autoSpaceDN w:val="0"/>
        <w:adjustRightInd w:val="0"/>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投标人须知前附表</w:t>
      </w:r>
    </w:p>
    <w:p w14:paraId="16AEB159">
      <w:pPr>
        <w:autoSpaceDE w:val="0"/>
        <w:autoSpaceDN w:val="0"/>
        <w:adjustRightInd w:val="0"/>
        <w:jc w:val="left"/>
        <w:rPr>
          <w:rFonts w:hint="eastAsia" w:ascii="宋体" w:hAnsi="宋体" w:cs="宋体"/>
          <w:color w:val="000000"/>
          <w:kern w:val="0"/>
          <w:szCs w:val="21"/>
          <w:highlight w:val="none"/>
        </w:rPr>
      </w:pPr>
    </w:p>
    <w:tbl>
      <w:tblPr>
        <w:tblStyle w:val="38"/>
        <w:tblW w:w="9673" w:type="dxa"/>
        <w:jc w:val="center"/>
        <w:tblLayout w:type="fixed"/>
        <w:tblCellMar>
          <w:top w:w="0" w:type="dxa"/>
          <w:left w:w="108" w:type="dxa"/>
          <w:bottom w:w="0" w:type="dxa"/>
          <w:right w:w="108" w:type="dxa"/>
        </w:tblCellMar>
      </w:tblPr>
      <w:tblGrid>
        <w:gridCol w:w="1015"/>
        <w:gridCol w:w="2138"/>
        <w:gridCol w:w="6520"/>
      </w:tblGrid>
      <w:tr w14:paraId="684251D8">
        <w:tblPrEx>
          <w:tblCellMar>
            <w:top w:w="0" w:type="dxa"/>
            <w:left w:w="108" w:type="dxa"/>
            <w:bottom w:w="0" w:type="dxa"/>
            <w:right w:w="108" w:type="dxa"/>
          </w:tblCellMar>
        </w:tblPrEx>
        <w:trPr>
          <w:trHeight w:val="146" w:hRule="atLeast"/>
          <w:tblHeader/>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6765C5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9215B9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条 款 名 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4BBC3D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编 列 内 容</w:t>
            </w:r>
          </w:p>
        </w:tc>
      </w:tr>
      <w:tr w14:paraId="6088F562">
        <w:tblPrEx>
          <w:tblCellMar>
            <w:top w:w="0" w:type="dxa"/>
            <w:left w:w="108" w:type="dxa"/>
            <w:bottom w:w="0" w:type="dxa"/>
            <w:right w:w="108" w:type="dxa"/>
          </w:tblCellMar>
        </w:tblPrEx>
        <w:trPr>
          <w:trHeight w:val="45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7AEC71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709BE8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71E2787">
            <w:pPr>
              <w:pStyle w:val="19"/>
              <w:keepNext w:val="0"/>
              <w:keepLines w:val="0"/>
              <w:suppressLineNumbers w:val="0"/>
              <w:spacing w:before="0" w:beforeAutospacing="0" w:after="0" w:afterAutospacing="0" w:line="360" w:lineRule="auto"/>
              <w:ind w:left="0" w:right="0"/>
              <w:rPr>
                <w:rFonts w:hint="eastAsia" w:hAnsi="宋体" w:cs="宋体"/>
                <w:highlight w:val="none"/>
              </w:rPr>
            </w:pPr>
            <w:r>
              <w:rPr>
                <w:rFonts w:hint="eastAsia" w:hAnsi="宋体" w:cs="宋体"/>
                <w:highlight w:val="none"/>
              </w:rPr>
              <w:t>名 称：</w:t>
            </w:r>
            <w:r>
              <w:rPr>
                <w:rFonts w:hint="eastAsia" w:cs="宋体"/>
                <w:kern w:val="2"/>
                <w:szCs w:val="24"/>
                <w:highlight w:val="none"/>
                <w:lang w:val="en-US" w:eastAsia="zh-CN"/>
              </w:rPr>
              <w:t>2025年汽开区绿化养护管理服务</w:t>
            </w:r>
            <w:r>
              <w:rPr>
                <w:rFonts w:hint="eastAsia" w:hAnsi="宋体" w:cs="宋体"/>
                <w:highlight w:val="none"/>
              </w:rPr>
              <w:t> </w:t>
            </w:r>
          </w:p>
          <w:p w14:paraId="5BE05755">
            <w:pPr>
              <w:keepNext w:val="0"/>
              <w:keepLines w:val="0"/>
              <w:suppressLineNumbers w:val="0"/>
              <w:spacing w:before="0" w:beforeAutospacing="0" w:after="0" w:afterAutospacing="0" w:line="360" w:lineRule="auto"/>
              <w:ind w:left="0" w:right="0"/>
              <w:rPr>
                <w:rFonts w:hint="eastAsia" w:ascii="宋体" w:hAnsi="宋体" w:eastAsia="宋体" w:cs="宋体"/>
                <w:kern w:val="2"/>
                <w:sz w:val="21"/>
                <w:szCs w:val="21"/>
                <w:highlight w:val="none"/>
                <w:lang w:val="en-US" w:eastAsia="zh-CN" w:bidi="ar-SA"/>
              </w:rPr>
            </w:pPr>
            <w:r>
              <w:rPr>
                <w:rFonts w:hint="eastAsia" w:hAnsi="宋体" w:cs="宋体"/>
                <w:highlight w:val="none"/>
              </w:rPr>
              <w:t>地址</w:t>
            </w:r>
            <w:r>
              <w:rPr>
                <w:rFonts w:hint="eastAsia" w:ascii="宋体" w:hAnsi="宋体" w:eastAsia="宋体" w:cs="宋体"/>
                <w:kern w:val="2"/>
                <w:sz w:val="21"/>
                <w:szCs w:val="21"/>
                <w:highlight w:val="none"/>
                <w:lang w:val="en-US" w:eastAsia="zh-CN" w:bidi="ar-SA"/>
              </w:rPr>
              <w:t>：汽车大厦(东风大街7766号)</w:t>
            </w:r>
          </w:p>
          <w:p w14:paraId="66D599C1">
            <w:pPr>
              <w:keepNext w:val="0"/>
              <w:keepLines w:val="0"/>
              <w:suppressLineNumbers w:val="0"/>
              <w:spacing w:before="0" w:beforeAutospacing="0" w:after="0" w:afterAutospacing="0" w:line="360" w:lineRule="auto"/>
              <w:ind w:left="0" w:right="0"/>
              <w:rPr>
                <w:rFonts w:hint="default" w:ascii="宋体" w:hAnsi="宋体" w:eastAsia="宋体" w:cs="宋体"/>
                <w:kern w:val="2"/>
                <w:sz w:val="21"/>
                <w:szCs w:val="21"/>
                <w:highlight w:val="none"/>
                <w:lang w:val="en-US" w:eastAsia="zh-CN" w:bidi="ar-SA"/>
              </w:rPr>
            </w:pPr>
            <w:r>
              <w:rPr>
                <w:rFonts w:hint="eastAsia" w:hAnsi="宋体" w:cs="宋体"/>
                <w:highlight w:val="none"/>
              </w:rPr>
              <w:t>联</w:t>
            </w:r>
            <w:r>
              <w:rPr>
                <w:rFonts w:hint="eastAsia" w:ascii="宋体" w:hAnsi="宋体" w:eastAsia="宋体" w:cs="宋体"/>
                <w:kern w:val="2"/>
                <w:sz w:val="21"/>
                <w:szCs w:val="21"/>
                <w:highlight w:val="none"/>
                <w:lang w:val="en-US" w:eastAsia="zh-CN" w:bidi="ar-SA"/>
              </w:rPr>
              <w:t>系人：赵文斐</w:t>
            </w:r>
          </w:p>
          <w:p w14:paraId="0A2A7FC3">
            <w:pPr>
              <w:keepNext w:val="0"/>
              <w:keepLines w:val="0"/>
              <w:suppressLineNumbers w:val="0"/>
              <w:spacing w:before="0" w:beforeAutospacing="0" w:after="0" w:afterAutospacing="0" w:line="360" w:lineRule="auto"/>
              <w:ind w:left="0" w:right="0"/>
              <w:rPr>
                <w:rFonts w:hAnsi="宋体" w:cs="宋体"/>
                <w:highlight w:val="none"/>
              </w:rPr>
            </w:pPr>
            <w:r>
              <w:rPr>
                <w:rFonts w:hint="eastAsia" w:ascii="宋体" w:hAnsi="宋体" w:eastAsia="宋体" w:cs="宋体"/>
                <w:kern w:val="2"/>
                <w:sz w:val="21"/>
                <w:szCs w:val="21"/>
                <w:highlight w:val="none"/>
                <w:lang w:val="en-US" w:eastAsia="zh-CN" w:bidi="ar-SA"/>
              </w:rPr>
              <w:t>联系方式： 0431-81501540</w:t>
            </w:r>
          </w:p>
        </w:tc>
      </w:tr>
      <w:tr w14:paraId="6390B766">
        <w:tblPrEx>
          <w:tblCellMar>
            <w:top w:w="0" w:type="dxa"/>
            <w:left w:w="108" w:type="dxa"/>
            <w:bottom w:w="0" w:type="dxa"/>
            <w:right w:w="108" w:type="dxa"/>
          </w:tblCellMar>
        </w:tblPrEx>
        <w:trPr>
          <w:trHeight w:val="123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E8086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0701D6F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采购代理机构</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8A521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名 称：吉林省</w:t>
            </w:r>
            <w:r>
              <w:rPr>
                <w:rFonts w:hint="eastAsia" w:ascii="宋体" w:hAnsi="宋体" w:eastAsia="宋体" w:cs="宋体"/>
                <w:highlight w:val="none"/>
                <w:lang w:val="en-US" w:eastAsia="zh-CN"/>
              </w:rPr>
              <w:t>驰茗项目管理咨询有限公司</w:t>
            </w:r>
          </w:p>
          <w:p w14:paraId="67EB3F93">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地 址：长春市天合路与生态大街交汇明宇公寓B1栋2514室</w:t>
            </w:r>
          </w:p>
          <w:p w14:paraId="3EEC818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联系人：赵龙、孟颖</w:t>
            </w:r>
            <w:r>
              <w:rPr>
                <w:rFonts w:hint="eastAsia" w:ascii="宋体" w:hAnsi="宋体" w:eastAsia="宋体" w:cs="宋体"/>
                <w:highlight w:val="none"/>
                <w:lang w:val="en-US" w:eastAsia="zh-CN"/>
              </w:rPr>
              <w:t xml:space="preserve"> </w:t>
            </w:r>
          </w:p>
          <w:p w14:paraId="7453B6E9">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联系方式：</w:t>
            </w:r>
            <w:r>
              <w:rPr>
                <w:rFonts w:hint="eastAsia" w:ascii="宋体" w:hAnsi="宋体" w:eastAsia="宋体" w:cs="宋体"/>
                <w:highlight w:val="none"/>
                <w:lang w:val="en-US" w:eastAsia="zh-CN"/>
              </w:rPr>
              <w:t>15304411121（工作电话）</w:t>
            </w:r>
            <w:r>
              <w:rPr>
                <w:rFonts w:hint="eastAsia" w:ascii="宋体" w:hAnsi="宋体" w:eastAsia="宋体" w:cs="宋体"/>
                <w:highlight w:val="none"/>
                <w:lang w:eastAsia="zh-CN"/>
              </w:rPr>
              <w:t>　0431-85651560</w:t>
            </w:r>
            <w:r>
              <w:rPr>
                <w:rFonts w:hint="eastAsia" w:ascii="宋体" w:hAnsi="宋体" w:eastAsia="宋体" w:cs="宋体"/>
                <w:highlight w:val="none"/>
                <w:lang w:val="en-US" w:eastAsia="zh-CN"/>
              </w:rPr>
              <w:t xml:space="preserve"> </w:t>
            </w:r>
          </w:p>
        </w:tc>
      </w:tr>
      <w:tr w14:paraId="3036F327">
        <w:tblPrEx>
          <w:tblCellMar>
            <w:top w:w="0" w:type="dxa"/>
            <w:left w:w="108" w:type="dxa"/>
            <w:bottom w:w="0" w:type="dxa"/>
            <w:right w:w="108" w:type="dxa"/>
          </w:tblCellMar>
        </w:tblPrEx>
        <w:trPr>
          <w:trHeight w:val="96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AC1E6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3DAE2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项目名称及编号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FBDBD9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default" w:ascii="宋体" w:hAnsi="宋体" w:cs="Calibri"/>
                <w:b w:val="0"/>
                <w:bCs/>
                <w:kern w:val="0"/>
                <w:sz w:val="21"/>
                <w:szCs w:val="21"/>
                <w:highlight w:val="none"/>
                <w:lang w:val="en-US" w:eastAsia="zh-CN" w:bidi="ar-SA"/>
              </w:rPr>
            </w:pPr>
            <w:r>
              <w:rPr>
                <w:rFonts w:hint="eastAsia" w:ascii="宋体" w:hAnsi="宋体" w:cs="Calibri"/>
                <w:b w:val="0"/>
                <w:bCs/>
                <w:kern w:val="0"/>
                <w:sz w:val="21"/>
                <w:szCs w:val="21"/>
                <w:highlight w:val="none"/>
                <w:lang w:val="en-US" w:eastAsia="zh-CN" w:bidi="ar-SA"/>
              </w:rPr>
              <w:t>项目名称：</w:t>
            </w:r>
            <w:r>
              <w:rPr>
                <w:rFonts w:hint="eastAsia" w:cs="宋体"/>
                <w:kern w:val="2"/>
                <w:szCs w:val="24"/>
                <w:highlight w:val="none"/>
                <w:lang w:val="en-US" w:eastAsia="zh-CN"/>
              </w:rPr>
              <w:t>2025年汽开区绿化养护管理服务六标段</w:t>
            </w:r>
          </w:p>
          <w:p w14:paraId="6D52AFF0">
            <w:pPr>
              <w:pStyle w:val="6"/>
              <w:keepNext w:val="0"/>
              <w:keepLines w:val="0"/>
              <w:suppressLineNumbers w:val="0"/>
              <w:spacing w:before="0" w:beforeAutospacing="0" w:after="0" w:afterAutospacing="0" w:line="440" w:lineRule="exact"/>
              <w:ind w:left="0" w:right="420" w:firstLine="0" w:firstLineChars="0"/>
              <w:rPr>
                <w:rFonts w:hint="default" w:ascii="宋体" w:hAnsi="宋体" w:eastAsia="宋体" w:cs="宋体"/>
                <w:color w:val="000000"/>
                <w:szCs w:val="21"/>
                <w:highlight w:val="none"/>
                <w:lang w:val="en-US" w:eastAsia="zh-CN"/>
              </w:rPr>
            </w:pPr>
            <w:r>
              <w:rPr>
                <w:rFonts w:hint="eastAsia" w:ascii="宋体" w:hAnsi="宋体" w:cs="宋体"/>
                <w:szCs w:val="21"/>
                <w:highlight w:val="none"/>
              </w:rPr>
              <w:t>项目编号</w:t>
            </w:r>
            <w:r>
              <w:rPr>
                <w:rFonts w:hint="eastAsia" w:ascii="宋体" w:hAnsi="宋体" w:cs="宋体"/>
                <w:color w:val="000000"/>
                <w:szCs w:val="21"/>
                <w:highlight w:val="none"/>
              </w:rPr>
              <w:t>：</w:t>
            </w: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-6</w:t>
            </w:r>
          </w:p>
        </w:tc>
      </w:tr>
      <w:tr w14:paraId="05EC03E2">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D9CDD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C3DD8F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服务</w:t>
            </w:r>
            <w:r>
              <w:rPr>
                <w:rFonts w:hint="eastAsia" w:ascii="宋体" w:hAnsi="宋体" w:cs="宋体"/>
                <w:color w:val="000000"/>
                <w:kern w:val="0"/>
                <w:szCs w:val="21"/>
                <w:highlight w:val="none"/>
              </w:rPr>
              <w:t>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D5A1420">
            <w:pPr>
              <w:keepNext w:val="0"/>
              <w:keepLines w:val="0"/>
              <w:suppressLineNumbers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auto"/>
                <w:highlight w:val="none"/>
              </w:rPr>
              <w:t>采购人指定</w:t>
            </w:r>
            <w:r>
              <w:rPr>
                <w:rFonts w:hint="eastAsia" w:ascii="Calibri" w:hAnsi="Calibri" w:cs="宋体"/>
                <w:color w:val="auto"/>
                <w:highlight w:val="none"/>
              </w:rPr>
              <w:t>的</w:t>
            </w:r>
            <w:r>
              <w:rPr>
                <w:rFonts w:hint="eastAsia" w:ascii="宋体" w:hAnsi="宋体" w:cs="宋体"/>
                <w:color w:val="auto"/>
                <w:highlight w:val="none"/>
                <w:lang w:val="en-US" w:eastAsia="zh-CN"/>
              </w:rPr>
              <w:t>地点</w:t>
            </w:r>
          </w:p>
        </w:tc>
      </w:tr>
      <w:tr w14:paraId="50657836">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472B8D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536802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资金来源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A421B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财政资金</w:t>
            </w:r>
          </w:p>
        </w:tc>
      </w:tr>
      <w:tr w14:paraId="2AE9CB35">
        <w:tblPrEx>
          <w:tblCellMar>
            <w:top w:w="0" w:type="dxa"/>
            <w:left w:w="108" w:type="dxa"/>
            <w:bottom w:w="0" w:type="dxa"/>
            <w:right w:w="108" w:type="dxa"/>
          </w:tblCellMar>
        </w:tblPrEx>
        <w:trPr>
          <w:trHeight w:val="37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E822C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A98A7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出资比例</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872393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100%</w:t>
            </w:r>
          </w:p>
        </w:tc>
      </w:tr>
      <w:tr w14:paraId="1963030E">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ED0D53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DF8FD1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资金落实情况</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67BC4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已落实</w:t>
            </w:r>
          </w:p>
        </w:tc>
      </w:tr>
      <w:tr w14:paraId="1A2AAE6A">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6A06B7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BB789D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采购需求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4BFFFBC">
            <w:pPr>
              <w:pStyle w:val="35"/>
              <w:keepNext w:val="0"/>
              <w:keepLines w:val="0"/>
              <w:suppressLineNumbers w:val="0"/>
              <w:shd w:val="clear" w:color="auto" w:fill="FFFFFF"/>
              <w:spacing w:before="0" w:beforeAutospacing="0" w:after="0" w:afterAutospacing="0" w:line="360" w:lineRule="auto"/>
              <w:ind w:left="0" w:right="0"/>
              <w:jc w:val="both"/>
              <w:rPr>
                <w:rFonts w:hint="eastAsia" w:ascii="宋体" w:hAnsi="宋体" w:eastAsia="宋体" w:cs="宋体"/>
                <w:color w:val="000000"/>
                <w:kern w:val="0"/>
                <w:szCs w:val="21"/>
                <w:highlight w:val="none"/>
                <w:lang w:eastAsia="zh-CN"/>
              </w:rPr>
            </w:pPr>
            <w:r>
              <w:rPr>
                <w:rFonts w:hint="eastAsia" w:eastAsia="宋体" w:cs="宋体"/>
                <w:color w:val="000000"/>
                <w:kern w:val="0"/>
                <w:sz w:val="21"/>
                <w:szCs w:val="21"/>
                <w:highlight w:val="none"/>
                <w:lang w:eastAsia="zh-CN"/>
              </w:rPr>
              <w:t>具体详见采购需求</w:t>
            </w:r>
          </w:p>
        </w:tc>
      </w:tr>
      <w:tr w14:paraId="02BC1178">
        <w:tblPrEx>
          <w:tblCellMar>
            <w:top w:w="0" w:type="dxa"/>
            <w:left w:w="108" w:type="dxa"/>
            <w:bottom w:w="0" w:type="dxa"/>
            <w:right w:w="108" w:type="dxa"/>
          </w:tblCellMar>
        </w:tblPrEx>
        <w:trPr>
          <w:trHeight w:val="146"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5E92BF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CEFEDC">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szCs w:val="21"/>
                <w:highlight w:val="none"/>
              </w:rPr>
              <w:t>合同履行期限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E35F71">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highlight w:val="none"/>
              </w:rPr>
              <w:t>自合同签订之日起一年。</w:t>
            </w:r>
          </w:p>
        </w:tc>
      </w:tr>
      <w:tr w14:paraId="17350E08">
        <w:tblPrEx>
          <w:tblCellMar>
            <w:top w:w="0" w:type="dxa"/>
            <w:left w:w="108" w:type="dxa"/>
            <w:bottom w:w="0" w:type="dxa"/>
            <w:right w:w="108" w:type="dxa"/>
          </w:tblCellMar>
        </w:tblPrEx>
        <w:trPr>
          <w:trHeight w:val="44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66E5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3BEFBB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eastAsia="宋体" w:cs="宋体"/>
                <w:color w:val="000000"/>
                <w:kern w:val="0"/>
                <w:szCs w:val="21"/>
                <w:highlight w:val="none"/>
                <w:lang w:eastAsia="zh-CN"/>
              </w:rPr>
            </w:pPr>
            <w:r>
              <w:rPr>
                <w:rFonts w:hint="eastAsia" w:ascii="宋体" w:hAnsi="宋体" w:cs="宋体"/>
                <w:highlight w:val="none"/>
              </w:rPr>
              <w:t>服务</w:t>
            </w:r>
            <w:r>
              <w:rPr>
                <w:rFonts w:hint="eastAsia" w:ascii="宋体" w:hAnsi="宋体" w:cs="宋体"/>
                <w:highlight w:val="none"/>
                <w:lang w:val="en-US" w:eastAsia="zh-CN"/>
              </w:rPr>
              <w:t>质量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B21920F">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绿化养护一级标准</w:t>
            </w:r>
          </w:p>
        </w:tc>
      </w:tr>
      <w:tr w14:paraId="53CCEF24">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E42AA2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21860B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投标人资质条件、能力和信誉</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E447593">
            <w:pPr>
              <w:keepNext w:val="0"/>
              <w:keepLines w:val="0"/>
              <w:suppressLineNumbers w:val="0"/>
              <w:spacing w:before="0" w:beforeAutospacing="0" w:after="0" w:afterAutospacing="0" w:line="360" w:lineRule="auto"/>
              <w:ind w:left="0" w:right="0"/>
              <w:rPr>
                <w:rFonts w:hint="eastAsia" w:ascii="宋体" w:hAnsi="宋体" w:cs="宋体"/>
                <w:highlight w:val="none"/>
              </w:rPr>
            </w:pPr>
            <w:r>
              <w:rPr>
                <w:rFonts w:hint="eastAsia" w:ascii="宋体" w:hAnsi="宋体" w:cs="宋体"/>
                <w:highlight w:val="none"/>
              </w:rPr>
              <w:t>详见招标公告申请人要求</w:t>
            </w:r>
          </w:p>
        </w:tc>
      </w:tr>
      <w:tr w14:paraId="4320DE5B">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C778F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E965461">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是否接受联合体投标</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6D98F26">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不接受</w:t>
            </w:r>
          </w:p>
        </w:tc>
      </w:tr>
      <w:tr w14:paraId="1ADE647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38031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B1F6D50">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踏勘现场及时间安排</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2055D05">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highlight w:val="none"/>
              </w:rPr>
            </w:pPr>
            <w:r>
              <w:rPr>
                <w:rFonts w:hint="eastAsia" w:ascii="宋体" w:hAnsi="宋体" w:cs="宋体"/>
                <w:color w:val="000000"/>
                <w:kern w:val="0"/>
                <w:highlight w:val="none"/>
              </w:rPr>
              <w:t>不组织</w:t>
            </w:r>
          </w:p>
        </w:tc>
      </w:tr>
      <w:tr w14:paraId="68CAA6D7">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C16E60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0230DE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答疑会时间及地点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F2C7109">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pacing w:val="-20"/>
                <w:kern w:val="0"/>
                <w:szCs w:val="21"/>
                <w:highlight w:val="none"/>
              </w:rPr>
            </w:pPr>
            <w:r>
              <w:rPr>
                <w:rFonts w:hint="eastAsia" w:ascii="宋体" w:hAnsi="宋体" w:cs="宋体"/>
                <w:color w:val="000000"/>
                <w:kern w:val="0"/>
                <w:highlight w:val="none"/>
              </w:rPr>
              <w:t>不召开答疑会</w:t>
            </w:r>
          </w:p>
        </w:tc>
      </w:tr>
      <w:tr w14:paraId="3D79F71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0F088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3BA99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投标人提出问题的截止时间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F33342B">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招标文件公告期限届满之日起7个工作日内以书面形式一次性提出。</w:t>
            </w:r>
            <w:r>
              <w:rPr>
                <w:rFonts w:hint="eastAsia" w:ascii="宋体" w:hAnsi="宋体" w:cs="宋体"/>
                <w:color w:val="000000"/>
                <w:kern w:val="0"/>
                <w:highlight w:val="none"/>
              </w:rPr>
              <w:t>将所提问题递交到招标公司。</w:t>
            </w:r>
            <w:r>
              <w:rPr>
                <w:rFonts w:hint="eastAsia" w:ascii="宋体" w:hAnsi="宋体" w:cs="宋体"/>
                <w:color w:val="000000"/>
                <w:kern w:val="0"/>
                <w:highlight w:val="none"/>
                <w:lang w:val="zh-CN"/>
              </w:rPr>
              <w:t>要求：用A4纸打印，一式三份，并加盖公章，格式应符合政府采购相关管理办法规定。</w:t>
            </w:r>
            <w:r>
              <w:rPr>
                <w:rFonts w:hint="eastAsia" w:ascii="宋体" w:hAnsi="宋体" w:cs="宋体"/>
                <w:color w:val="000000"/>
                <w:kern w:val="0"/>
                <w:highlight w:val="none"/>
              </w:rPr>
              <w:t>委托人必须为本单位人员。</w:t>
            </w:r>
            <w:r>
              <w:rPr>
                <w:rFonts w:hint="eastAsia" w:ascii="宋体" w:hAnsi="宋体" w:cs="宋体"/>
                <w:color w:val="000000"/>
                <w:kern w:val="0"/>
                <w:highlight w:val="none"/>
                <w:lang w:val="zh-CN"/>
              </w:rPr>
              <w:t>若投标人未按规定提交投标疑问，则视为其无疑问。</w:t>
            </w:r>
          </w:p>
        </w:tc>
      </w:tr>
      <w:tr w14:paraId="00C601B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F5BBD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EB11DD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采购人书面澄清</w:t>
            </w:r>
          </w:p>
          <w:p w14:paraId="6FA4CC4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的时间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0B89D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投标截止时间15日前，招标文件的澄清、修改将在“政采云”网站上发布，所有报名并下载招标文件的投标人自行网上查询，否则后果自负。  </w:t>
            </w:r>
          </w:p>
        </w:tc>
      </w:tr>
      <w:tr w14:paraId="0D4C1A94">
        <w:tblPrEx>
          <w:tblCellMar>
            <w:top w:w="0" w:type="dxa"/>
            <w:left w:w="108" w:type="dxa"/>
            <w:bottom w:w="0" w:type="dxa"/>
            <w:right w:w="108" w:type="dxa"/>
          </w:tblCellMar>
        </w:tblPrEx>
        <w:trPr>
          <w:trHeight w:val="22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5C7D0F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375157D">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分包</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5757CC">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9104BA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560B4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5C739B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构成投标文件的其他材料</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ACBA87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b/>
                <w:color w:val="000000"/>
                <w:kern w:val="0"/>
                <w:szCs w:val="21"/>
                <w:highlight w:val="none"/>
              </w:rPr>
            </w:pPr>
            <w:r>
              <w:rPr>
                <w:rFonts w:hint="eastAsia" w:ascii="宋体" w:hAnsi="宋体" w:cs="宋体"/>
                <w:b/>
                <w:bCs/>
                <w:color w:val="000000"/>
                <w:kern w:val="0"/>
                <w:highlight w:val="none"/>
              </w:rPr>
              <w:t>无</w:t>
            </w:r>
          </w:p>
        </w:tc>
      </w:tr>
      <w:tr w14:paraId="59DECA40">
        <w:tblPrEx>
          <w:tblCellMar>
            <w:top w:w="0" w:type="dxa"/>
            <w:left w:w="108" w:type="dxa"/>
            <w:bottom w:w="0" w:type="dxa"/>
            <w:right w:w="108" w:type="dxa"/>
          </w:tblCellMar>
        </w:tblPrEx>
        <w:trPr>
          <w:trHeight w:val="454" w:hRule="atLeast"/>
          <w:jc w:val="center"/>
        </w:trPr>
        <w:tc>
          <w:tcPr>
            <w:tcW w:w="1015" w:type="dxa"/>
            <w:tcBorders>
              <w:left w:val="single" w:color="auto" w:sz="4" w:space="0"/>
              <w:bottom w:val="single" w:color="auto" w:sz="4" w:space="0"/>
              <w:right w:val="single" w:color="auto" w:sz="4" w:space="0"/>
            </w:tcBorders>
            <w:noWrap w:val="0"/>
            <w:vAlign w:val="center"/>
          </w:tcPr>
          <w:p w14:paraId="1978A04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3.2</w:t>
            </w:r>
          </w:p>
        </w:tc>
        <w:tc>
          <w:tcPr>
            <w:tcW w:w="2138" w:type="dxa"/>
            <w:tcBorders>
              <w:left w:val="single" w:color="auto" w:sz="4" w:space="0"/>
              <w:bottom w:val="single" w:color="auto" w:sz="4" w:space="0"/>
              <w:right w:val="single" w:color="auto" w:sz="4" w:space="0"/>
            </w:tcBorders>
            <w:noWrap w:val="0"/>
            <w:vAlign w:val="center"/>
          </w:tcPr>
          <w:p w14:paraId="78D3787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投标有效期</w:t>
            </w:r>
          </w:p>
        </w:tc>
        <w:tc>
          <w:tcPr>
            <w:tcW w:w="6520" w:type="dxa"/>
            <w:tcBorders>
              <w:left w:val="single" w:color="auto" w:sz="4" w:space="0"/>
              <w:bottom w:val="single" w:color="auto" w:sz="4" w:space="0"/>
              <w:right w:val="single" w:color="auto" w:sz="4" w:space="0"/>
            </w:tcBorders>
            <w:noWrap w:val="0"/>
            <w:vAlign w:val="center"/>
          </w:tcPr>
          <w:p w14:paraId="5B948B0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90天</w:t>
            </w:r>
          </w:p>
        </w:tc>
      </w:tr>
      <w:tr w14:paraId="29B1D63A">
        <w:tblPrEx>
          <w:tblCellMar>
            <w:top w:w="0" w:type="dxa"/>
            <w:left w:w="108" w:type="dxa"/>
            <w:bottom w:w="0" w:type="dxa"/>
            <w:right w:w="108" w:type="dxa"/>
          </w:tblCellMar>
        </w:tblPrEx>
        <w:trPr>
          <w:trHeight w:val="1529"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A4311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98114EB">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A20169">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color w:val="333333"/>
                <w:kern w:val="0"/>
                <w:szCs w:val="21"/>
                <w:shd w:val="clear" w:color="auto" w:fill="FFFFFF"/>
                <w:lang w:val="zh-CN" w:eastAsia="zh-CN"/>
              </w:rPr>
            </w:pPr>
            <w:r>
              <w:rPr>
                <w:rFonts w:hint="default" w:ascii="宋体" w:hAnsi="宋体" w:eastAsia="宋体" w:cs="宋体"/>
                <w:color w:val="333333"/>
                <w:kern w:val="0"/>
                <w:szCs w:val="21"/>
                <w:highlight w:val="none"/>
                <w:shd w:val="clear" w:color="auto" w:fill="FFFFFF"/>
                <w:lang w:val="zh-CN" w:eastAsia="zh-CN"/>
              </w:rPr>
              <w:sym w:font="Wingdings" w:char="00FE"/>
            </w:r>
            <w:r>
              <w:rPr>
                <w:rFonts w:hint="eastAsia" w:ascii="宋体" w:hAnsi="宋体" w:eastAsia="宋体" w:cs="宋体"/>
                <w:color w:val="333333"/>
                <w:kern w:val="0"/>
                <w:szCs w:val="21"/>
                <w:shd w:val="clear" w:color="auto" w:fill="FFFFFF"/>
                <w:lang w:val="zh-CN" w:eastAsia="zh-CN"/>
              </w:rPr>
              <w:t>否：（依据长财采购</w:t>
            </w:r>
            <w:r>
              <w:rPr>
                <w:rFonts w:hint="eastAsia" w:ascii="宋体" w:hAnsi="宋体" w:eastAsia="宋体" w:cs="宋体"/>
                <w:color w:val="333333"/>
                <w:kern w:val="0"/>
                <w:szCs w:val="21"/>
                <w:shd w:val="clear" w:color="auto" w:fill="FFFFFF"/>
                <w:lang w:val="en-US" w:eastAsia="zh-CN"/>
              </w:rPr>
              <w:t>&lt;2021&gt;695号</w:t>
            </w:r>
            <w:r>
              <w:rPr>
                <w:rFonts w:hint="eastAsia" w:ascii="宋体" w:hAnsi="宋体" w:eastAsia="宋体" w:cs="宋体"/>
                <w:color w:val="333333"/>
                <w:kern w:val="0"/>
                <w:szCs w:val="21"/>
                <w:shd w:val="clear" w:color="auto" w:fill="FFFFFF"/>
                <w:lang w:val="zh-CN" w:eastAsia="zh-CN"/>
              </w:rPr>
              <w:t>要求的政府采购项目，不收取</w:t>
            </w:r>
            <w:r>
              <w:rPr>
                <w:rFonts w:hint="eastAsia" w:ascii="宋体" w:hAnsi="宋体" w:cs="宋体"/>
                <w:color w:val="333333"/>
                <w:kern w:val="0"/>
                <w:szCs w:val="21"/>
                <w:shd w:val="clear" w:color="auto" w:fill="FFFFFF"/>
                <w:lang w:val="zh-CN"/>
              </w:rPr>
              <w:t>磋商</w:t>
            </w:r>
            <w:r>
              <w:rPr>
                <w:rFonts w:hint="eastAsia" w:ascii="宋体" w:hAnsi="宋体" w:eastAsia="宋体" w:cs="宋体"/>
                <w:color w:val="333333"/>
                <w:kern w:val="0"/>
                <w:szCs w:val="21"/>
                <w:shd w:val="clear" w:color="auto" w:fill="FFFFFF"/>
                <w:lang w:val="zh-CN" w:eastAsia="zh-CN"/>
              </w:rPr>
              <w:t>保证金，但对于满足《中华人民共和国政府采购法》第二十二条有关规定，经“信用中国”网站查询存在行政处罚的供应商，将依法收取</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p>
          <w:p w14:paraId="40503475">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highlight w:val="none"/>
              </w:rPr>
            </w:pPr>
            <w:r>
              <w:rPr>
                <w:rFonts w:hint="default" w:ascii="宋体" w:hAnsi="宋体" w:eastAsia="宋体" w:cs="宋体"/>
                <w:color w:val="333333"/>
                <w:kern w:val="0"/>
                <w:szCs w:val="21"/>
                <w:shd w:val="clear" w:color="auto" w:fill="FFFFFF"/>
                <w:lang w:val="zh-CN" w:eastAsia="zh-CN"/>
              </w:rPr>
              <w:sym w:font="Wingdings" w:char="00A8"/>
            </w:r>
            <w:r>
              <w:rPr>
                <w:rFonts w:hint="eastAsia" w:ascii="宋体" w:hAnsi="宋体" w:eastAsia="宋体" w:cs="宋体"/>
                <w:color w:val="333333"/>
                <w:kern w:val="0"/>
                <w:szCs w:val="21"/>
                <w:shd w:val="clear" w:color="auto" w:fill="FFFFFF"/>
                <w:lang w:val="zh-CN" w:eastAsia="zh-CN"/>
              </w:rPr>
              <w:t>是：</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r>
              <w:rPr>
                <w:rFonts w:hint="eastAsia" w:ascii="宋体" w:hAnsi="宋体" w:eastAsia="宋体" w:cs="宋体"/>
                <w:color w:val="333333"/>
                <w:kern w:val="0"/>
                <w:szCs w:val="21"/>
                <w:shd w:val="clear" w:color="auto" w:fill="FFFFFF"/>
                <w:lang w:val="en-US" w:eastAsia="zh-CN"/>
              </w:rPr>
              <w:t>/</w:t>
            </w:r>
          </w:p>
        </w:tc>
      </w:tr>
      <w:tr w14:paraId="6EB8AB4E">
        <w:tblPrEx>
          <w:tblCellMar>
            <w:top w:w="0" w:type="dxa"/>
            <w:left w:w="108" w:type="dxa"/>
            <w:bottom w:w="0" w:type="dxa"/>
            <w:right w:w="108" w:type="dxa"/>
          </w:tblCellMar>
        </w:tblPrEx>
        <w:trPr>
          <w:trHeight w:val="9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7D0BBA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AF221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是否允许递交备选投标方案</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729641A">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443542E">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E5599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BDC8D9">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ACB777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签字或盖章，符合招标文件规定。</w:t>
            </w:r>
          </w:p>
        </w:tc>
      </w:tr>
      <w:tr w14:paraId="0ADB759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D1C122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C8B2BE2">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投标文件份数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0933F3">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kern w:val="0"/>
                <w:szCs w:val="21"/>
                <w:highlight w:val="none"/>
              </w:rPr>
              <w:t>本项目</w:t>
            </w:r>
            <w:r>
              <w:rPr>
                <w:rFonts w:hint="eastAsia" w:ascii="宋体" w:hAnsi="宋体" w:cs="宋体"/>
                <w:b/>
                <w:bCs/>
                <w:color w:val="000000"/>
                <w:kern w:val="0"/>
                <w:szCs w:val="21"/>
                <w:highlight w:val="none"/>
              </w:rPr>
              <w:t>中标人</w:t>
            </w:r>
            <w:r>
              <w:rPr>
                <w:rFonts w:hint="eastAsia" w:ascii="宋体" w:hAnsi="宋体" w:cs="宋体"/>
                <w:color w:val="000000"/>
                <w:kern w:val="0"/>
                <w:szCs w:val="21"/>
                <w:highlight w:val="none"/>
              </w:rPr>
              <w:t>提交的纸质投标文件，必须使用从投标文件制作工具中生成的投标文件（打印版）进行单面打印，因已有电子签章，故投标人仅需盖封面章及骑缝章。投标文件一正四副，电子版1份（U盘）</w:t>
            </w:r>
          </w:p>
        </w:tc>
      </w:tr>
      <w:tr w14:paraId="6A521964">
        <w:tblPrEx>
          <w:tblCellMar>
            <w:top w:w="0" w:type="dxa"/>
            <w:left w:w="108" w:type="dxa"/>
            <w:bottom w:w="0" w:type="dxa"/>
            <w:right w:w="108" w:type="dxa"/>
          </w:tblCellMar>
        </w:tblPrEx>
        <w:trPr>
          <w:trHeight w:val="30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D31611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5DFB86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装订要求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3A132E">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rPr>
              <w:t>投标文件的装订要求：左侧纵向装订，装订不做具体要求，统一按顺序装订成一册，不能采用活页装订方式。</w:t>
            </w:r>
            <w:r>
              <w:rPr>
                <w:rFonts w:hint="eastAsia" w:ascii="宋体" w:hAnsi="宋体" w:cs="宋体"/>
                <w:b/>
                <w:bCs/>
                <w:color w:val="000000"/>
                <w:highlight w:val="none"/>
              </w:rPr>
              <w:t>（仅中标人适用）</w:t>
            </w:r>
          </w:p>
        </w:tc>
      </w:tr>
      <w:tr w14:paraId="0A487016">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D939B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BF621F6">
            <w:pPr>
              <w:keepNext w:val="0"/>
              <w:keepLines w:val="0"/>
              <w:suppressLineNumbers w:val="0"/>
              <w:spacing w:before="0" w:beforeAutospacing="0" w:after="0" w:afterAutospacing="0" w:line="360" w:lineRule="auto"/>
              <w:ind w:left="0" w:right="0"/>
              <w:jc w:val="center"/>
              <w:rPr>
                <w:rFonts w:hint="eastAsia" w:ascii="Calibri" w:hAnsi="Calibri" w:cs="Calibri"/>
                <w:highlight w:val="none"/>
              </w:rPr>
            </w:pPr>
            <w:r>
              <w:rPr>
                <w:rFonts w:hint="eastAsia" w:ascii="宋体" w:hAnsi="宋体" w:cs="宋体"/>
                <w:highlight w:val="none"/>
              </w:rPr>
              <w:t>递交投标文件方式、地点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B4882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highlight w:val="yellow"/>
                <w:lang w:eastAsia="zh-CN"/>
              </w:rPr>
            </w:pPr>
            <w:r>
              <w:rPr>
                <w:rFonts w:hint="eastAsia" w:ascii="宋体" w:hAnsi="宋体" w:cs="宋体"/>
                <w:color w:val="000000"/>
                <w:highlight w:val="none"/>
              </w:rPr>
              <w:t>投标文件上传截止时间：</w:t>
            </w:r>
            <w:r>
              <w:rPr>
                <w:rFonts w:hint="eastAsia" w:ascii="宋体" w:hAnsi="宋体" w:cs="宋体"/>
                <w:color w:val="000000"/>
                <w:highlight w:val="yellow"/>
                <w:lang w:eastAsia="zh-CN"/>
              </w:rPr>
              <w:t>2025年</w:t>
            </w:r>
            <w:r>
              <w:rPr>
                <w:rFonts w:hint="eastAsia" w:ascii="宋体" w:hAnsi="宋体" w:cs="宋体"/>
                <w:color w:val="000000"/>
                <w:highlight w:val="yellow"/>
                <w:lang w:val="en-US" w:eastAsia="zh-CN"/>
              </w:rPr>
              <w:t>7</w:t>
            </w:r>
            <w:r>
              <w:rPr>
                <w:rFonts w:hint="eastAsia" w:ascii="宋体" w:hAnsi="宋体" w:cs="宋体"/>
                <w:color w:val="000000"/>
                <w:highlight w:val="yellow"/>
                <w:lang w:eastAsia="zh-CN"/>
              </w:rPr>
              <w:t>月2</w:t>
            </w:r>
            <w:r>
              <w:rPr>
                <w:rFonts w:hint="eastAsia" w:ascii="宋体" w:hAnsi="宋体" w:cs="宋体"/>
                <w:color w:val="000000"/>
                <w:highlight w:val="yellow"/>
                <w:lang w:val="en-US" w:eastAsia="zh-CN"/>
              </w:rPr>
              <w:t>8</w:t>
            </w:r>
            <w:r>
              <w:rPr>
                <w:rFonts w:hint="eastAsia" w:ascii="宋体" w:hAnsi="宋体" w:cs="宋体"/>
                <w:color w:val="000000"/>
                <w:highlight w:val="yellow"/>
                <w:lang w:eastAsia="zh-CN"/>
              </w:rPr>
              <w:t>日</w:t>
            </w:r>
            <w:r>
              <w:rPr>
                <w:rFonts w:hint="eastAsia" w:ascii="宋体" w:hAnsi="宋体" w:cs="宋体"/>
                <w:color w:val="000000"/>
                <w:highlight w:val="yellow"/>
                <w:lang w:val="en-US" w:eastAsia="zh-CN"/>
              </w:rPr>
              <w:t>9</w:t>
            </w:r>
            <w:r>
              <w:rPr>
                <w:rFonts w:hint="eastAsia" w:ascii="宋体" w:hAnsi="宋体" w:cs="宋体"/>
                <w:color w:val="000000"/>
                <w:highlight w:val="yellow"/>
                <w:lang w:eastAsia="zh-CN"/>
              </w:rPr>
              <w:t>时30分</w:t>
            </w:r>
          </w:p>
          <w:p w14:paraId="2410FCE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000000"/>
                <w:highlight w:val="none"/>
              </w:rPr>
              <w:t xml:space="preserve">1.投标人需在开标时间截止前将电子投标文件“政采云”平台（http://www.zcygov.cn）上直接上传； </w:t>
            </w:r>
          </w:p>
          <w:p w14:paraId="0AC07C03">
            <w:pPr>
              <w:keepNext w:val="0"/>
              <w:keepLines w:val="0"/>
              <w:suppressLineNumbers w:val="0"/>
              <w:autoSpaceDE w:val="0"/>
              <w:autoSpaceDN w:val="0"/>
              <w:adjustRightInd w:val="0"/>
              <w:spacing w:before="0" w:beforeAutospacing="0" w:after="0" w:afterAutospacing="0" w:line="440" w:lineRule="exact"/>
              <w:ind w:left="0" w:right="0"/>
              <w:rPr>
                <w:rFonts w:hint="eastAsia" w:ascii="Calibri" w:hAnsi="Calibri" w:cs="Calibri"/>
                <w:highlight w:val="none"/>
              </w:rPr>
            </w:pPr>
            <w:r>
              <w:rPr>
                <w:rFonts w:hint="eastAsia" w:ascii="宋体" w:hAnsi="宋体" w:cs="宋体"/>
                <w:color w:val="000000"/>
                <w:highlight w:val="none"/>
              </w:rPr>
              <w:t xml:space="preserve">2.逾期未上传的投标文件，采购人不予受理。 </w:t>
            </w:r>
          </w:p>
        </w:tc>
      </w:tr>
      <w:tr w14:paraId="7C29CA6E">
        <w:tblPrEx>
          <w:tblCellMar>
            <w:top w:w="0" w:type="dxa"/>
            <w:left w:w="108" w:type="dxa"/>
            <w:bottom w:w="0" w:type="dxa"/>
            <w:right w:w="108" w:type="dxa"/>
          </w:tblCellMar>
        </w:tblPrEx>
        <w:trPr>
          <w:trHeight w:val="81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7541B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1E0030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开标时间和地点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45E884">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开标时间：同投标文件递交截止时间</w:t>
            </w:r>
          </w:p>
          <w:p w14:paraId="6D4417B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rPr>
              <w:t>开标地点：</w:t>
            </w:r>
            <w:r>
              <w:rPr>
                <w:rFonts w:hint="eastAsia" w:ascii="宋体" w:hAnsi="宋体" w:cs="宋体"/>
                <w:color w:val="000000"/>
                <w:kern w:val="0"/>
                <w:highlight w:val="none"/>
              </w:rPr>
              <w:t>长春市二道区洋浦大街6999号</w:t>
            </w:r>
            <w:r>
              <w:rPr>
                <w:rFonts w:hint="eastAsia" w:ascii="宋体" w:hAnsi="宋体" w:cs="宋体"/>
                <w:color w:val="000000"/>
                <w:kern w:val="0"/>
                <w:highlight w:val="none"/>
                <w:lang w:eastAsia="zh-CN"/>
              </w:rPr>
              <w:t>凯利中心二楼开标四室</w:t>
            </w:r>
          </w:p>
        </w:tc>
      </w:tr>
      <w:tr w14:paraId="08BD5337">
        <w:tblPrEx>
          <w:tblCellMar>
            <w:top w:w="0" w:type="dxa"/>
            <w:left w:w="108" w:type="dxa"/>
            <w:bottom w:w="0" w:type="dxa"/>
            <w:right w:w="108" w:type="dxa"/>
          </w:tblCellMar>
        </w:tblPrEx>
        <w:trPr>
          <w:trHeight w:val="42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DC9A9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9A8856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开标程序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606B339">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lang w:bidi="ar"/>
              </w:rPr>
              <w:t>按照系统的先后顺序当众开标，投标人只需按照系统提示进行解密，解密完成后自行查看各家报价情况等内容。具体开标情况以政采云平台实际为准。</w:t>
            </w:r>
          </w:p>
        </w:tc>
      </w:tr>
      <w:tr w14:paraId="52B7BE45">
        <w:tblPrEx>
          <w:tblCellMar>
            <w:top w:w="0" w:type="dxa"/>
            <w:left w:w="108" w:type="dxa"/>
            <w:bottom w:w="0" w:type="dxa"/>
            <w:right w:w="108" w:type="dxa"/>
          </w:tblCellMar>
        </w:tblPrEx>
        <w:trPr>
          <w:trHeight w:val="48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407C3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F6C3829">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评标委员会的组建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C7273A2">
            <w:pPr>
              <w:keepNext w:val="0"/>
              <w:keepLines w:val="0"/>
              <w:suppressLineNumbers w:val="0"/>
              <w:spacing w:before="0" w:beforeAutospacing="0" w:after="0" w:afterAutospacing="0" w:line="360" w:lineRule="exact"/>
              <w:ind w:left="0" w:right="0"/>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rPr>
              <w:t>评标委员会构成：</w:t>
            </w:r>
            <w:r>
              <w:rPr>
                <w:rFonts w:hint="eastAsia" w:ascii="宋体" w:hAnsi="宋体" w:cs="宋体"/>
                <w:color w:val="000000"/>
                <w:kern w:val="0"/>
                <w:highlight w:val="none"/>
                <w:lang w:val="en-US" w:eastAsia="zh-CN"/>
              </w:rPr>
              <w:t>7</w:t>
            </w:r>
            <w:r>
              <w:rPr>
                <w:rFonts w:hint="eastAsia" w:ascii="宋体" w:hAnsi="宋体" w:cs="宋体"/>
                <w:color w:val="000000"/>
                <w:kern w:val="0"/>
                <w:highlight w:val="none"/>
              </w:rPr>
              <w:t xml:space="preserve">人 </w:t>
            </w:r>
            <w:r>
              <w:rPr>
                <w:rFonts w:hint="eastAsia" w:ascii="宋体" w:hAnsi="宋体" w:cs="宋体"/>
                <w:color w:val="000000"/>
                <w:kern w:val="0"/>
                <w:highlight w:val="none"/>
                <w:lang w:eastAsia="zh-CN"/>
              </w:rPr>
              <w:t>；</w:t>
            </w:r>
            <w:r>
              <w:rPr>
                <w:rFonts w:hint="eastAsia" w:ascii="宋体" w:hAnsi="宋体"/>
                <w:szCs w:val="21"/>
              </w:rPr>
              <w:t>其中采购人代表</w:t>
            </w:r>
            <w:r>
              <w:rPr>
                <w:rFonts w:hint="eastAsia" w:ascii="宋体" w:hAnsi="宋体"/>
                <w:szCs w:val="21"/>
                <w:lang w:val="en-US" w:eastAsia="zh-CN"/>
              </w:rPr>
              <w:t>1</w:t>
            </w:r>
            <w:r>
              <w:rPr>
                <w:rFonts w:hint="eastAsia" w:ascii="宋体" w:hAnsi="宋体"/>
                <w:szCs w:val="21"/>
              </w:rPr>
              <w:t>人，社会专家</w:t>
            </w:r>
            <w:r>
              <w:rPr>
                <w:rFonts w:hint="eastAsia" w:ascii="宋体" w:hAnsi="宋体"/>
                <w:szCs w:val="21"/>
                <w:lang w:val="en-US" w:eastAsia="zh-CN"/>
              </w:rPr>
              <w:t>6</w:t>
            </w:r>
            <w:r>
              <w:rPr>
                <w:rFonts w:hint="eastAsia" w:ascii="宋体" w:hAnsi="宋体"/>
                <w:szCs w:val="21"/>
              </w:rPr>
              <w:t>人。</w:t>
            </w:r>
          </w:p>
          <w:p w14:paraId="28AA9FB4">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highlight w:val="none"/>
              </w:rPr>
              <w:t>评标专家确定方式：由采购人委托采购代理机构在政采云平台专家库随机抽取。</w:t>
            </w:r>
          </w:p>
        </w:tc>
      </w:tr>
      <w:tr w14:paraId="28CA3C0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F939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A5BFC98">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是否授权评标</w:t>
            </w:r>
          </w:p>
          <w:p w14:paraId="4B7705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委员会确定中标人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24AD2">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否，推荐中标候选人数量：3个</w:t>
            </w:r>
          </w:p>
          <w:p w14:paraId="72486F20">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中标原则：综合排名第 1 的中标候选人中标</w:t>
            </w:r>
          </w:p>
          <w:p w14:paraId="33368BA0">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注：如被确定的中标候选人放弃中标、因不可抗力不能履行合同，或者被查实存在影响中标结果的违法行为等情形，不符合中标条件的，采购人将按照评标委员会提出的中标候选人名单排序依次确定其他中标候选人为中标人。采购人也可以选择重新招标。中标结果确定后，将在发布招标公告的网络媒介上予以公示。</w:t>
            </w:r>
          </w:p>
          <w:p w14:paraId="454EDEF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szCs w:val="21"/>
                <w:highlight w:val="none"/>
              </w:rPr>
              <w:t>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14:paraId="2BE5D382">
        <w:tblPrEx>
          <w:tblCellMar>
            <w:top w:w="0" w:type="dxa"/>
            <w:left w:w="108" w:type="dxa"/>
            <w:bottom w:w="0" w:type="dxa"/>
            <w:right w:w="108" w:type="dxa"/>
          </w:tblCellMar>
        </w:tblPrEx>
        <w:trPr>
          <w:trHeight w:val="59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E2C1F2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7A99D317">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需要补充的其他内容</w:t>
            </w:r>
          </w:p>
        </w:tc>
      </w:tr>
      <w:tr w14:paraId="31ED2B96">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E8DB4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FE9A07A">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预算金额（最高限价）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04B5B7B">
            <w:pPr>
              <w:pStyle w:val="35"/>
              <w:keepNext w:val="0"/>
              <w:keepLines w:val="0"/>
              <w:suppressLineNumbers w:val="0"/>
              <w:shd w:val="clear" w:color="auto" w:fill="FFFFFF"/>
              <w:spacing w:before="0" w:beforeAutospacing="0" w:after="0" w:afterAutospacing="0" w:line="360" w:lineRule="auto"/>
              <w:ind w:left="0" w:right="0"/>
              <w:jc w:val="both"/>
              <w:rPr>
                <w:rFonts w:ascii="宋体" w:hAnsi="宋体" w:cs="宋体"/>
                <w:b/>
                <w:color w:val="000000"/>
                <w:kern w:val="0"/>
                <w:szCs w:val="21"/>
                <w:highlight w:val="none"/>
              </w:rPr>
            </w:pPr>
            <w:r>
              <w:rPr>
                <w:rFonts w:hint="eastAsia" w:ascii="宋体" w:hAnsi="宋体" w:eastAsia="宋体" w:cs="宋体"/>
                <w:color w:val="000000"/>
                <w:kern w:val="2"/>
                <w:sz w:val="21"/>
                <w:szCs w:val="21"/>
                <w:highlight w:val="none"/>
                <w:lang w:val="en-US" w:eastAsia="zh-CN" w:bidi="ar-SA"/>
              </w:rPr>
              <w:t>一标段人民币 941.170223万元；二标段人民币 975.241323万元；三标段人民币 1252.723331万元；四标段人民币 991.991305万元；五标段人民币 1066.161698万元；六标段人民币 1082.557538万元；，投标人报价不允许超过预算金额。</w:t>
            </w:r>
          </w:p>
        </w:tc>
      </w:tr>
      <w:tr w14:paraId="0D83679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913BF6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49A4660">
            <w:pPr>
              <w:keepNext w:val="0"/>
              <w:keepLines w:val="0"/>
              <w:suppressLineNumbers w:val="0"/>
              <w:spacing w:before="0" w:beforeAutospacing="0" w:after="0" w:afterAutospacing="0" w:line="44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付款方式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0B74333">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FF0000"/>
                <w:kern w:val="0"/>
                <w:szCs w:val="21"/>
                <w:highlight w:val="none"/>
                <w:lang w:val="en-US" w:eastAsia="zh-CN"/>
              </w:rPr>
            </w:pPr>
            <w:r>
              <w:rPr>
                <w:rFonts w:hint="eastAsia" w:ascii="宋体" w:hAnsi="宋体" w:cs="宋体"/>
                <w:color w:val="auto"/>
                <w:kern w:val="0"/>
                <w:szCs w:val="21"/>
                <w:highlight w:val="none"/>
                <w:lang w:val="en-US" w:eastAsia="zh-CN"/>
              </w:rPr>
              <w:t>按合同约定。</w:t>
            </w:r>
          </w:p>
        </w:tc>
      </w:tr>
      <w:tr w14:paraId="784DDF7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F3B35F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D9598C">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35998E9">
            <w:pPr>
              <w:keepNext w:val="0"/>
              <w:keepLines w:val="0"/>
              <w:suppressLineNumbers w:val="0"/>
              <w:autoSpaceDE w:val="0"/>
              <w:autoSpaceDN w:val="0"/>
              <w:adjustRightInd w:val="0"/>
              <w:spacing w:before="0" w:beforeAutospacing="0" w:after="0" w:afterAutospacing="0" w:line="360" w:lineRule="auto"/>
              <w:ind w:left="0" w:right="0"/>
              <w:rPr>
                <w:rFonts w:hint="eastAsia" w:ascii="Calibri" w:hAnsi="Calibri" w:cs="Calibri"/>
                <w:highlight w:val="none"/>
              </w:rPr>
            </w:pPr>
            <w:r>
              <w:rPr>
                <w:rFonts w:hint="eastAsia" w:ascii="Calibri" w:hAnsi="Calibri" w:cs="Calibri"/>
                <w:highlight w:val="none"/>
              </w:rPr>
              <w:t>1、投标人应按招标文件（含补充文件）所提的要求提出投标总报价。此报价同时作为采购人的评标依据。除因采购人原因而要求进行变更或项目增减外，投标报价应为最终价格，在整个合同执行过程中，如无采购人要求变更或项目增减，最终价格即为合同价。</w:t>
            </w:r>
          </w:p>
          <w:p w14:paraId="43580D86">
            <w:pPr>
              <w:keepNext w:val="0"/>
              <w:keepLines w:val="0"/>
              <w:suppressLineNumbers w:val="0"/>
              <w:autoSpaceDE w:val="0"/>
              <w:autoSpaceDN w:val="0"/>
              <w:adjustRightInd w:val="0"/>
              <w:spacing w:before="0" w:beforeAutospacing="0" w:after="0" w:afterAutospacing="0" w:line="360" w:lineRule="auto"/>
              <w:ind w:left="0" w:right="0"/>
              <w:rPr>
                <w:rFonts w:ascii="Calibri" w:hAnsi="Calibri" w:cs="Calibri"/>
                <w:highlight w:val="none"/>
              </w:rPr>
            </w:pPr>
            <w:r>
              <w:rPr>
                <w:rFonts w:hint="eastAsia" w:ascii="Calibri" w:hAnsi="Calibri" w:cs="Calibri"/>
                <w:highlight w:val="none"/>
              </w:rPr>
              <w:t>2、</w:t>
            </w:r>
            <w:r>
              <w:rPr>
                <w:rFonts w:ascii="Calibri" w:hAnsi="Calibri" w:cs="Calibri"/>
                <w:highlight w:val="none"/>
              </w:rPr>
              <w:t>在评标过程中，评标委员会发现投标人的报价（修正价）明显低于其他投标报价，使得其投标报价可能低于其个别成本的，应当要求该投标人</w:t>
            </w:r>
            <w:r>
              <w:rPr>
                <w:rFonts w:hint="eastAsia" w:ascii="Calibri" w:hAnsi="Calibri" w:cs="Calibri"/>
                <w:highlight w:val="none"/>
              </w:rPr>
              <w:t>做</w:t>
            </w:r>
            <w:r>
              <w:rPr>
                <w:rFonts w:ascii="Calibri" w:hAnsi="Calibri" w:cs="Calibri"/>
                <w:highlight w:val="none"/>
              </w:rPr>
              <w:t>出书面说明并提供相关证明材料。投标人不能合理说明或者不能提供相关证明材料的，由评标委员会认定该投标人以低于成本报价竞标</w:t>
            </w:r>
            <w:r>
              <w:rPr>
                <w:rFonts w:hint="eastAsia" w:ascii="Calibri" w:hAnsi="Calibri" w:cs="Calibri"/>
                <w:highlight w:val="none"/>
              </w:rPr>
              <w:t>，低于成本视为废标处理</w:t>
            </w:r>
            <w:r>
              <w:rPr>
                <w:rFonts w:ascii="Calibri" w:hAnsi="Calibri" w:cs="Calibri"/>
                <w:highlight w:val="none"/>
              </w:rPr>
              <w:t>。</w:t>
            </w:r>
          </w:p>
          <w:p w14:paraId="280841B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000000"/>
                <w:highlight w:val="none"/>
              </w:rPr>
            </w:pPr>
            <w:r>
              <w:rPr>
                <w:rFonts w:hint="eastAsia" w:ascii="Times New Roman" w:hAnsi="Times New Roman" w:cs="Times New Roman"/>
                <w:highlight w:val="none"/>
              </w:rPr>
              <w:t>3、以中标的投标人在开标一览表中的投标总报价为准。不保证报价最低的投标人中标，不解释原因。</w:t>
            </w:r>
          </w:p>
        </w:tc>
      </w:tr>
      <w:tr w14:paraId="63ABB47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C555C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984A47">
            <w:pPr>
              <w:keepNext w:val="0"/>
              <w:keepLines w:val="0"/>
              <w:suppressLineNumbers w:val="0"/>
              <w:spacing w:before="0" w:beforeAutospacing="0" w:after="0" w:afterAutospacing="0" w:line="360" w:lineRule="auto"/>
              <w:ind w:left="0" w:right="0"/>
              <w:jc w:val="center"/>
              <w:rPr>
                <w:rFonts w:hint="eastAsia" w:ascii="宋体" w:hAnsi="宋体" w:cs="宋体"/>
                <w:color w:val="000000"/>
                <w:kern w:val="0"/>
                <w:szCs w:val="21"/>
                <w:highlight w:val="none"/>
              </w:rPr>
            </w:pPr>
            <w:r>
              <w:rPr>
                <w:rFonts w:hint="eastAsia" w:ascii="宋体" w:hAnsi="宋体" w:cs="宋体"/>
                <w:szCs w:val="21"/>
                <w:highlight w:val="none"/>
                <w:lang w:val="zh-CN"/>
              </w:rPr>
              <w:t>低于成本报价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3292FAE">
            <w:pPr>
              <w:keepNext w:val="0"/>
              <w:keepLines w:val="0"/>
              <w:suppressLineNumbers w:val="0"/>
              <w:spacing w:before="0" w:beforeAutospacing="0" w:after="0" w:afterAutospacing="0" w:line="360" w:lineRule="auto"/>
              <w:ind w:left="0" w:right="0"/>
              <w:rPr>
                <w:rFonts w:hint="eastAsia" w:ascii="宋体" w:hAnsi="宋体" w:cs="宋体"/>
                <w:color w:val="000000"/>
                <w:szCs w:val="21"/>
                <w:highlight w:val="none"/>
              </w:rPr>
            </w:pPr>
            <w:r>
              <w:rPr>
                <w:rFonts w:hint="eastAsia" w:ascii="宋体" w:hAnsi="宋体" w:cs="宋体"/>
                <w:szCs w:val="21"/>
                <w:highlight w:val="none"/>
                <w:lang w:val="zh-CN"/>
              </w:rPr>
              <w:t>依据财政部第</w:t>
            </w:r>
            <w:r>
              <w:rPr>
                <w:rFonts w:hint="eastAsia" w:ascii="宋体" w:hAnsi="宋体" w:cs="宋体"/>
                <w:szCs w:val="21"/>
                <w:highlight w:val="none"/>
              </w:rPr>
              <w:t>87号令第60条：评审</w:t>
            </w:r>
            <w:r>
              <w:rPr>
                <w:rFonts w:hint="eastAsia" w:ascii="宋体" w:hAnsi="宋体" w:cs="宋体"/>
                <w:szCs w:val="21"/>
                <w:highlight w:val="none"/>
                <w:lang w:val="zh-CN"/>
              </w:rPr>
              <w:t>小组发现投标人的报价明显低于其他通过符合性审查</w:t>
            </w:r>
            <w:r>
              <w:rPr>
                <w:rFonts w:hint="eastAsia" w:ascii="宋体" w:hAnsi="宋体" w:cs="宋体"/>
                <w:szCs w:val="21"/>
                <w:highlight w:val="none"/>
              </w:rPr>
              <w:t>投标人</w:t>
            </w:r>
            <w:r>
              <w:rPr>
                <w:rFonts w:hint="eastAsia" w:ascii="宋体" w:hAnsi="宋体" w:cs="宋体"/>
                <w:szCs w:val="21"/>
                <w:highlight w:val="none"/>
                <w:lang w:val="zh-CN"/>
              </w:rPr>
              <w:t>的报价，有可能影响产品质量或者不能诚信履约的，应当要求该投标人在评标现场合理时间内作出书面说明并提供相应的证明材料。</w:t>
            </w:r>
            <w:r>
              <w:rPr>
                <w:rFonts w:hint="eastAsia" w:ascii="宋体" w:hAnsi="宋体" w:cs="宋体"/>
                <w:szCs w:val="21"/>
                <w:highlight w:val="none"/>
              </w:rPr>
              <w:t>投标人</w:t>
            </w:r>
            <w:r>
              <w:rPr>
                <w:rFonts w:hint="eastAsia" w:ascii="宋体" w:hAnsi="宋体" w:cs="宋体"/>
                <w:szCs w:val="21"/>
                <w:highlight w:val="none"/>
                <w:lang w:val="zh-CN"/>
              </w:rPr>
              <w:t>不能合理说明或者不能提供相应证明材料的，由</w:t>
            </w:r>
            <w:r>
              <w:rPr>
                <w:rFonts w:hint="eastAsia" w:ascii="宋体" w:hAnsi="宋体" w:cs="宋体"/>
                <w:szCs w:val="21"/>
                <w:highlight w:val="none"/>
              </w:rPr>
              <w:t>评审</w:t>
            </w:r>
            <w:r>
              <w:rPr>
                <w:rFonts w:hint="eastAsia" w:ascii="宋体" w:hAnsi="宋体" w:cs="宋体"/>
                <w:szCs w:val="21"/>
                <w:highlight w:val="none"/>
                <w:lang w:val="zh-CN"/>
              </w:rPr>
              <w:t>小组认定该</w:t>
            </w:r>
            <w:r>
              <w:rPr>
                <w:rFonts w:hint="eastAsia" w:ascii="宋体" w:hAnsi="宋体" w:cs="宋体"/>
                <w:szCs w:val="21"/>
                <w:highlight w:val="none"/>
              </w:rPr>
              <w:t>投标人</w:t>
            </w:r>
            <w:r>
              <w:rPr>
                <w:rFonts w:hint="eastAsia" w:ascii="宋体" w:hAnsi="宋体" w:cs="宋体"/>
                <w:szCs w:val="21"/>
                <w:highlight w:val="none"/>
                <w:lang w:val="zh-CN"/>
              </w:rPr>
              <w:t>以低于成本报价竞标，其投标文件将被否决。</w:t>
            </w:r>
          </w:p>
        </w:tc>
      </w:tr>
      <w:tr w14:paraId="14AF3E6A">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53DBE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717CB0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资格审查方式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63E82E">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kern w:val="0"/>
                <w:highlight w:val="none"/>
              </w:rPr>
              <w:t>资格后审</w:t>
            </w:r>
          </w:p>
        </w:tc>
      </w:tr>
      <w:tr w14:paraId="3274E32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002505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3F6EEF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评标办法</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CA207B">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szCs w:val="21"/>
                <w:highlight w:val="none"/>
                <w:lang w:val="en-US" w:eastAsia="zh-CN"/>
              </w:rPr>
            </w:pPr>
            <w:r>
              <w:rPr>
                <w:rFonts w:hint="eastAsia" w:ascii="宋体" w:hAnsi="宋体" w:cs="宋体"/>
                <w:color w:val="000000"/>
                <w:kern w:val="0"/>
                <w:highlight w:val="none"/>
                <w:lang w:val="en-US" w:eastAsia="zh-CN"/>
              </w:rPr>
              <w:t>综合评分法</w:t>
            </w:r>
          </w:p>
        </w:tc>
      </w:tr>
      <w:tr w14:paraId="5C4A323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0056E9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7</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D43A271">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highlight w:val="none"/>
              </w:rPr>
              <w:t>中标</w:t>
            </w:r>
            <w:r>
              <w:rPr>
                <w:rFonts w:hint="eastAsia" w:ascii="宋体" w:hAnsi="宋体" w:cs="宋体"/>
                <w:color w:val="000000"/>
                <w:kern w:val="0"/>
                <w:szCs w:val="21"/>
                <w:highlight w:val="none"/>
              </w:rPr>
              <w:t>服务费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89EB0C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执行《国家发展改革委关于进一步放开建设项目专业服务价格的通知》（发改价格〔2015〕299号）实行市场调节价格，由中标人支付采购代理服务费。</w:t>
            </w:r>
          </w:p>
        </w:tc>
      </w:tr>
      <w:tr w14:paraId="58DC8068">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FC7D65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8</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1BF06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szCs w:val="21"/>
                <w:highlight w:val="none"/>
              </w:rPr>
              <w:t>落实的政府采购政策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E902B0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17A2E8C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6469775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0E3032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352AAF08">
            <w:pPr>
              <w:keepNext w:val="0"/>
              <w:keepLines w:val="0"/>
              <w:suppressLineNumbers w:val="0"/>
              <w:autoSpaceDE w:val="0"/>
              <w:autoSpaceDN w:val="0"/>
              <w:adjustRightInd w:val="0"/>
              <w:spacing w:before="0" w:beforeAutospacing="0" w:after="0" w:afterAutospacing="0" w:line="400" w:lineRule="exact"/>
              <w:ind w:left="0" w:right="0"/>
              <w:rPr>
                <w:rFonts w:ascii="宋体" w:hAnsi="宋体" w:cs="宋体"/>
                <w:b/>
                <w:bCs/>
                <w:color w:val="FF0000"/>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w:t>
            </w:r>
            <w:r>
              <w:rPr>
                <w:rFonts w:hint="eastAsia" w:ascii="宋体" w:hAnsi="宋体" w:cs="宋体"/>
                <w:b/>
                <w:bCs/>
                <w:color w:val="FF0000"/>
                <w:szCs w:val="21"/>
                <w:highlight w:val="none"/>
              </w:rPr>
              <w:t>本项目专门面向中小企业采购，所以不给于价格扣除。</w:t>
            </w:r>
          </w:p>
          <w:p w14:paraId="5285DB7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3D67E7A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745C1D4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复印件加盖投标人公章。第（5）条提供中小企业声明函（格式参照财库【2020】46号文件规定格式）复印件加盖投标人公章，第（6）条应当提供由省级以上监狱管理局、戒毒管理局(含新疆生产建设兵团)出具的属于监狱企业的证明文件复印件加盖投标人公章。第（7）条执行财库〔2017〕141号文件规定，第（5）条与第（6）条、第（7）条政策不能叠加扣除。</w:t>
            </w:r>
          </w:p>
          <w:p w14:paraId="356BC1A2">
            <w:pPr>
              <w:keepNext w:val="0"/>
              <w:keepLines w:val="0"/>
              <w:suppressLineNumbers w:val="0"/>
              <w:autoSpaceDE w:val="0"/>
              <w:autoSpaceDN w:val="0"/>
              <w:spacing w:before="0" w:beforeAutospacing="0" w:after="0" w:afterAutospacing="0" w:line="440" w:lineRule="exact"/>
              <w:ind w:left="0" w:right="0"/>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4B64D13A">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10</w:t>
            </w:r>
            <w:r>
              <w:rPr>
                <w:rFonts w:hint="eastAsia" w:ascii="宋体" w:hAnsi="宋体" w:cs="宋体"/>
                <w:bCs/>
                <w:color w:val="000000"/>
                <w:szCs w:val="21"/>
                <w:highlight w:val="none"/>
                <w:lang w:val="zh-CN"/>
              </w:rPr>
              <w:t>）《关于进一步加大政府采购支持中小企业力度的通知》财库〔2022〕19号文件等国家最新政策</w:t>
            </w:r>
          </w:p>
        </w:tc>
      </w:tr>
      <w:tr w14:paraId="3A6EAD1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675F8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15EFBE9">
            <w:pPr>
              <w:keepNext w:val="0"/>
              <w:keepLines w:val="0"/>
              <w:suppressLineNumbers w:val="0"/>
              <w:spacing w:before="0" w:beforeAutospacing="0" w:after="0" w:afterAutospacing="0" w:line="44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其他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EB5E864">
            <w:pPr>
              <w:keepNext w:val="0"/>
              <w:keepLines w:val="0"/>
              <w:suppressLineNumbers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bCs/>
                <w:color w:val="000000"/>
                <w:szCs w:val="21"/>
                <w:highlight w:val="none"/>
                <w:lang w:val="en-US" w:eastAsia="zh-CN"/>
              </w:rPr>
              <w:t>/</w:t>
            </w:r>
          </w:p>
        </w:tc>
      </w:tr>
      <w:tr w14:paraId="1E6D214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79C6C7B">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2138" w:type="dxa"/>
            <w:tcBorders>
              <w:top w:val="single" w:color="auto" w:sz="4" w:space="0"/>
              <w:left w:val="single" w:color="auto" w:sz="4" w:space="0"/>
              <w:bottom w:val="single" w:color="auto" w:sz="4" w:space="0"/>
              <w:right w:val="single" w:color="auto" w:sz="4" w:space="0"/>
            </w:tcBorders>
            <w:noWrap w:val="0"/>
            <w:vAlign w:val="top"/>
          </w:tcPr>
          <w:p w14:paraId="44104DBA">
            <w:pPr>
              <w:keepNext w:val="0"/>
              <w:keepLines w:val="0"/>
              <w:suppressLineNumbers w:val="0"/>
              <w:spacing w:before="0" w:beforeAutospacing="0" w:after="0" w:afterAutospacing="0"/>
              <w:ind w:left="0" w:right="0"/>
              <w:rPr>
                <w:rFonts w:hint="eastAsia" w:ascii="宋体" w:hAnsi="宋体" w:cs="宋体"/>
                <w:color w:val="FF0000"/>
                <w:szCs w:val="21"/>
                <w:highlight w:val="none"/>
              </w:rPr>
            </w:pPr>
            <w:r>
              <w:rPr>
                <w:rFonts w:hint="eastAsia" w:ascii="宋体" w:hAnsi="宋体" w:cs="宋体"/>
                <w:szCs w:val="21"/>
                <w:highlight w:val="none"/>
              </w:rPr>
              <w:t>中小企业划分标准所属行业</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653DD">
            <w:pPr>
              <w:keepNext w:val="0"/>
              <w:keepLines w:val="0"/>
              <w:suppressLineNumbers w:val="0"/>
              <w:spacing w:before="0" w:beforeAutospacing="0" w:after="0" w:afterAutospacing="0" w:line="440" w:lineRule="exact"/>
              <w:ind w:left="0" w:right="0"/>
              <w:rPr>
                <w:rFonts w:hint="default" w:ascii="宋体" w:hAnsi="宋体" w:eastAsia="宋体" w:cs="宋体"/>
                <w:color w:val="FF0000"/>
                <w:szCs w:val="21"/>
                <w:highlight w:val="none"/>
                <w:lang w:val="en-US" w:eastAsia="zh-CN"/>
              </w:rPr>
            </w:pPr>
            <w:r>
              <w:rPr>
                <w:rFonts w:hint="eastAsia" w:ascii="宋体" w:hAnsi="宋体" w:cs="宋体"/>
                <w:bCs/>
                <w:szCs w:val="21"/>
                <w:highlight w:val="none"/>
                <w:lang w:val="en-US" w:eastAsia="zh-CN"/>
              </w:rPr>
              <w:t>其他服务业</w:t>
            </w:r>
          </w:p>
        </w:tc>
      </w:tr>
      <w:tr w14:paraId="2A73CC8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B326496">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495E949">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履约保证金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F5CC958">
            <w:pPr>
              <w:keepNext w:val="0"/>
              <w:keepLines w:val="0"/>
              <w:suppressLineNumbers w:val="0"/>
              <w:spacing w:before="0" w:beforeAutospacing="0" w:after="0" w:afterAutospacing="0" w:line="440" w:lineRule="exact"/>
              <w:ind w:left="0" w:right="0"/>
              <w:jc w:val="left"/>
              <w:rPr>
                <w:rFonts w:hint="eastAsia" w:ascii="宋体" w:hAnsi="宋体" w:cs="宋体"/>
                <w:color w:val="auto"/>
                <w:highlight w:val="none"/>
              </w:rPr>
            </w:pPr>
            <w:r>
              <w:rPr>
                <w:rFonts w:hint="eastAsia" w:ascii="宋体" w:hAnsi="宋体" w:cs="宋体"/>
                <w:color w:val="auto"/>
                <w:highlight w:val="none"/>
              </w:rPr>
              <w:t>无</w:t>
            </w:r>
          </w:p>
        </w:tc>
      </w:tr>
      <w:tr w14:paraId="4202A0F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9AB704">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12</w:t>
            </w: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2B2C58BB">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szCs w:val="21"/>
                <w:highlight w:val="none"/>
              </w:rPr>
              <w:t>招标</w:t>
            </w:r>
            <w:r>
              <w:rPr>
                <w:rFonts w:hint="eastAsia" w:ascii="宋体" w:hAnsi="宋体" w:cs="宋体"/>
                <w:color w:val="000000"/>
                <w:highlight w:val="none"/>
              </w:rPr>
              <w:t>公告、招标文件与投标人须知前附表不一致之处以投标人须知前附表为准。</w:t>
            </w:r>
          </w:p>
        </w:tc>
      </w:tr>
      <w:tr w14:paraId="2DC73378">
        <w:tblPrEx>
          <w:tblCellMar>
            <w:top w:w="0" w:type="dxa"/>
            <w:left w:w="108" w:type="dxa"/>
            <w:bottom w:w="0" w:type="dxa"/>
            <w:right w:w="108" w:type="dxa"/>
          </w:tblCellMar>
        </w:tblPrEx>
        <w:trPr>
          <w:trHeight w:val="454" w:hRule="atLeast"/>
          <w:jc w:val="center"/>
        </w:trPr>
        <w:tc>
          <w:tcPr>
            <w:tcW w:w="9673" w:type="dxa"/>
            <w:gridSpan w:val="3"/>
            <w:tcBorders>
              <w:top w:val="single" w:color="auto" w:sz="4" w:space="0"/>
              <w:left w:val="single" w:color="auto" w:sz="4" w:space="0"/>
              <w:bottom w:val="single" w:color="auto" w:sz="4" w:space="0"/>
              <w:right w:val="single" w:color="auto" w:sz="4" w:space="0"/>
            </w:tcBorders>
            <w:noWrap w:val="0"/>
            <w:vAlign w:val="center"/>
          </w:tcPr>
          <w:p w14:paraId="30D01717">
            <w:pPr>
              <w:keepNext w:val="0"/>
              <w:keepLines w:val="0"/>
              <w:suppressLineNumbers w:val="0"/>
              <w:spacing w:before="0" w:beforeAutospacing="0" w:after="0" w:afterAutospacing="0" w:line="440" w:lineRule="exact"/>
              <w:ind w:left="0" w:right="0" w:firstLine="210" w:firstLineChars="100"/>
              <w:jc w:val="both"/>
              <w:rPr>
                <w:rFonts w:ascii="宋体" w:hAnsi="宋体" w:cs="宋体"/>
                <w:color w:val="000000"/>
                <w:kern w:val="0"/>
                <w:szCs w:val="21"/>
                <w:highlight w:val="none"/>
              </w:rPr>
            </w:pPr>
            <w:r>
              <w:rPr>
                <w:rFonts w:hint="eastAsia" w:ascii="宋体" w:hAnsi="宋体" w:cs="宋体"/>
                <w:color w:val="000000"/>
                <w:kern w:val="0"/>
                <w:szCs w:val="21"/>
                <w:highlight w:val="none"/>
              </w:rPr>
              <w:t>13采购人需要补充的其他内容</w:t>
            </w:r>
          </w:p>
        </w:tc>
      </w:tr>
      <w:tr w14:paraId="4C22E3B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93E4B8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12D386D0">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1、关于“政采云”平台（</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HYPERLINK "http://www.zcygov.cn）的操作指南" </w:instrText>
            </w:r>
            <w:r>
              <w:rPr>
                <w:rFonts w:hint="eastAsia" w:ascii="宋体" w:hAnsi="宋体" w:cs="宋体"/>
                <w:color w:val="000000"/>
                <w:kern w:val="0"/>
                <w:szCs w:val="21"/>
                <w:highlight w:val="none"/>
              </w:rPr>
              <w:fldChar w:fldCharType="separate"/>
            </w:r>
            <w:r>
              <w:rPr>
                <w:rFonts w:hint="eastAsia" w:ascii="宋体" w:hAnsi="宋体" w:cs="宋体"/>
                <w:color w:val="000000"/>
                <w:kern w:val="0"/>
                <w:szCs w:val="21"/>
                <w:highlight w:val="none"/>
              </w:rPr>
              <w:t>http://www.zcygov.cn）的操作说明</w:t>
            </w:r>
            <w:r>
              <w:rPr>
                <w:rFonts w:hint="eastAsia" w:ascii="宋体" w:hAnsi="宋体" w:cs="宋体"/>
                <w:color w:val="000000"/>
                <w:kern w:val="0"/>
                <w:szCs w:val="21"/>
                <w:highlight w:val="none"/>
              </w:rPr>
              <w:fldChar w:fldCharType="end"/>
            </w:r>
          </w:p>
          <w:p w14:paraId="27785CFD">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(1)投标文件提交方式：本项目为全流程电子化项目，通过 “政采云”平台(http：//www.zcygov.cn)实行在线电子投标，投标人应先安装 “政采云电子交易客户端” (请自行前往“政采云”平台进行下载) ，并按照本项目招标文件和“政采云”平台的要求编制、加密后在投标截止时间前通过网络上传至 “政采云”平台，投标人在“政采云”平台提交电子版投标文件时，请填写参加远程开标活动经办人联系方式。</w:t>
            </w:r>
          </w:p>
          <w:p w14:paraId="6D372558">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(2)未进行网上注册并办理数字证书 (CA 认证)的投标人将无法参与本项目政府采购活动，潜在投标人应当在投标截止时间前，完成电子交易平台上的 CA 数字证书办理及投标文件的提交。完成 CA 数字证书办理预计7日左右，投标人只需办理其中一家CA数字证书及签章，建议各投标人抓紧时间办理。（具体办理流程请致电当地主要管理部门）</w:t>
            </w:r>
          </w:p>
          <w:p w14:paraId="05CC5F66">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(3)为确保网上操作合法、有效和安全，请投标人确保在电子投标过程中能够对相关数据电文进行加密和使用电子签章，妥善保管 CA 数字证书并使用有效的 CA 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2AB2CF1E">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kern w:val="0"/>
                <w:szCs w:val="21"/>
                <w:highlight w:val="none"/>
              </w:rPr>
              <w:t>4</w:t>
            </w:r>
            <w:r>
              <w:rPr>
                <w:rFonts w:hint="eastAsia" w:ascii="宋体" w:hAnsi="宋体" w:cs="宋体"/>
                <w:color w:val="000000"/>
                <w:kern w:val="0"/>
                <w:szCs w:val="21"/>
                <w:highlight w:val="none"/>
              </w:rPr>
              <w:t>)CA证书在线解密：投标人投标时，需携带制作投标文件时用来加密的有效数字证书(CA认证) 登录“政采云”平台电子开标大厅现场按规定时间对加密的投标文件进行解密，未能按要求进行解密的，由此产生的后果由投标人自行承担。</w:t>
            </w:r>
          </w:p>
          <w:p w14:paraId="29802E44">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szCs w:val="21"/>
                <w:highlight w:val="none"/>
              </w:rPr>
              <w:t>5</w:t>
            </w:r>
            <w:r>
              <w:rPr>
                <w:rFonts w:hint="eastAsia" w:ascii="宋体" w:hAnsi="宋体" w:cs="宋体"/>
                <w:color w:val="000000"/>
                <w:kern w:val="0"/>
                <w:szCs w:val="21"/>
                <w:highlight w:val="none"/>
              </w:rPr>
              <w:t>）本项目中标结果将在发布招标公告的媒介发出。</w:t>
            </w:r>
          </w:p>
        </w:tc>
      </w:tr>
    </w:tbl>
    <w:p w14:paraId="6850368C">
      <w:pPr>
        <w:spacing w:before="240" w:beforeLines="100" w:after="240" w:afterLines="100" w:line="360" w:lineRule="auto"/>
        <w:rPr>
          <w:rFonts w:hint="eastAsia" w:ascii="宋体" w:hAnsi="宋体" w:cs="宋体"/>
          <w:b/>
          <w:bCs/>
          <w:color w:val="000000"/>
          <w:szCs w:val="21"/>
          <w:highlight w:val="none"/>
        </w:rPr>
      </w:pPr>
      <w:r>
        <w:rPr>
          <w:rFonts w:hint="eastAsia" w:ascii="宋体" w:hAnsi="宋体" w:cs="宋体"/>
          <w:b/>
          <w:color w:val="000000"/>
          <w:sz w:val="28"/>
          <w:szCs w:val="28"/>
          <w:highlight w:val="none"/>
        </w:rPr>
        <w:br w:type="page"/>
      </w:r>
      <w:bookmarkEnd w:id="10"/>
      <w:r>
        <w:rPr>
          <w:rFonts w:hint="eastAsia" w:ascii="宋体" w:hAnsi="宋体" w:cs="宋体"/>
          <w:b/>
          <w:bCs/>
          <w:color w:val="000000"/>
          <w:szCs w:val="21"/>
          <w:highlight w:val="none"/>
        </w:rPr>
        <w:t>1. 总则</w:t>
      </w:r>
    </w:p>
    <w:p w14:paraId="547D2F2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 项目概况</w:t>
      </w:r>
    </w:p>
    <w:p w14:paraId="19539DC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根据《中华人民共和国政府采购法》《中华人民共和国政府采购法实施条例》等有关法律、法规和规章的规定，本招标项目已具备招标条件，现对本项目进行招标。</w:t>
      </w:r>
    </w:p>
    <w:p w14:paraId="5046F2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1.1.2 本招标项目采购人：见投标人须知前附表。</w:t>
      </w:r>
    </w:p>
    <w:p w14:paraId="1B9761D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1.1.3 本招标项目采购代理机构：见投标人须知前附表。</w:t>
      </w:r>
    </w:p>
    <w:p w14:paraId="177155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1.1.4 本招标项目名称及编号：见投标人须知前附表。</w:t>
      </w:r>
    </w:p>
    <w:p w14:paraId="2984156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1.1.5 本招标项目服务地点：见投标人须知前附表。</w:t>
      </w:r>
    </w:p>
    <w:p w14:paraId="62E0A71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 资金来源和落实情况</w:t>
      </w:r>
    </w:p>
    <w:p w14:paraId="116309C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1.2.1 本招标项目的资金来源：见投标人须知前附表。</w:t>
      </w:r>
    </w:p>
    <w:p w14:paraId="40CB393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1.2.2 本招标项目的出资比例：见投标人须知前附表。</w:t>
      </w:r>
    </w:p>
    <w:p w14:paraId="2E472BF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1.2.3 本招标项目的资金落实情况：见投标人须知前附表。</w:t>
      </w:r>
    </w:p>
    <w:p w14:paraId="452E6D3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 采购需求、合同履行期限和服务标准</w:t>
      </w:r>
    </w:p>
    <w:p w14:paraId="2550AF0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1.3.1 本次采购需求：见投标人须知前附表。</w:t>
      </w:r>
    </w:p>
    <w:p w14:paraId="1652BA0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1.3.2 本次招标的合同履行期限：见投标人须知前附表。</w:t>
      </w:r>
    </w:p>
    <w:p w14:paraId="1778A6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1.3.3 本次招标的服务标准：见投标人须知前附表。</w:t>
      </w:r>
    </w:p>
    <w:p w14:paraId="63E76EC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 投标人资格要求</w:t>
      </w:r>
    </w:p>
    <w:p w14:paraId="3A0F031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1.4.1 投标人应具备承担本项目的资格条件、能力和信誉。</w:t>
      </w:r>
    </w:p>
    <w:p w14:paraId="189D631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1.4.2 本项目不接受联合体投标。</w:t>
      </w:r>
    </w:p>
    <w:p w14:paraId="3A64622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1.5 费用承担</w:t>
      </w:r>
    </w:p>
    <w:p w14:paraId="37D134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投标人准备和参加投标活动发生的费用自理。</w:t>
      </w:r>
    </w:p>
    <w:p w14:paraId="0894647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1.6 保密</w:t>
      </w:r>
    </w:p>
    <w:p w14:paraId="24AA32B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参与招标投标活动的各方应对招标文件和投标文件中的商业和技术等秘密保密，违者应对由此造成的后果承担法律责任。</w:t>
      </w:r>
    </w:p>
    <w:p w14:paraId="67DAAC2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1.7 语言文字</w:t>
      </w:r>
    </w:p>
    <w:p w14:paraId="1E2E4C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除专用术语外，与招标投标有关的语言均使用中文。必要时专用术语应附有中文注释。</w:t>
      </w:r>
    </w:p>
    <w:p w14:paraId="217C1E6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1.8 计量单位</w:t>
      </w:r>
    </w:p>
    <w:p w14:paraId="64EDDEB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所有计量均采用中华人民共和国法定计量单位。</w:t>
      </w:r>
    </w:p>
    <w:p w14:paraId="4C587409">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1.9 踏勘现场</w:t>
      </w:r>
    </w:p>
    <w:p w14:paraId="7E72B61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不组织，自行踏勘</w:t>
      </w:r>
    </w:p>
    <w:p w14:paraId="2AEB449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1.10 答疑会</w:t>
      </w:r>
    </w:p>
    <w:p w14:paraId="37708E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不召开</w:t>
      </w:r>
    </w:p>
    <w:p w14:paraId="5EFD5B1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分包</w:t>
      </w:r>
    </w:p>
    <w:p w14:paraId="4456637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本项目不允许分包。</w:t>
      </w:r>
    </w:p>
    <w:p w14:paraId="17821507">
      <w:pPr>
        <w:pStyle w:val="5"/>
        <w:numPr>
          <w:ilvl w:val="0"/>
          <w:numId w:val="0"/>
        </w:numPr>
        <w:jc w:val="both"/>
        <w:rPr>
          <w:rFonts w:hint="eastAsia" w:ascii="宋体" w:hAnsi="宋体" w:cs="宋体"/>
          <w:bCs/>
          <w:color w:val="000000"/>
          <w:sz w:val="21"/>
          <w:szCs w:val="21"/>
          <w:highlight w:val="none"/>
        </w:rPr>
      </w:pPr>
      <w:bookmarkStart w:id="11" w:name="_Toc471222465"/>
      <w:bookmarkStart w:id="12" w:name="_Toc452632694"/>
      <w:bookmarkStart w:id="13" w:name="_Toc230599441"/>
      <w:bookmarkStart w:id="14" w:name="_Toc9356"/>
      <w:r>
        <w:rPr>
          <w:rFonts w:hint="eastAsia" w:ascii="宋体" w:hAnsi="宋体" w:cs="宋体"/>
          <w:bCs/>
          <w:color w:val="000000"/>
          <w:sz w:val="21"/>
          <w:szCs w:val="21"/>
          <w:highlight w:val="none"/>
        </w:rPr>
        <w:t xml:space="preserve">2. </w:t>
      </w:r>
      <w:bookmarkEnd w:id="11"/>
      <w:bookmarkEnd w:id="12"/>
      <w:bookmarkEnd w:id="13"/>
      <w:r>
        <w:rPr>
          <w:rFonts w:hint="eastAsia" w:ascii="宋体" w:hAnsi="宋体" w:cs="宋体"/>
          <w:bCs/>
          <w:color w:val="000000"/>
          <w:sz w:val="21"/>
          <w:szCs w:val="21"/>
          <w:highlight w:val="none"/>
        </w:rPr>
        <w:t>招标文件</w:t>
      </w:r>
      <w:bookmarkEnd w:id="14"/>
    </w:p>
    <w:p w14:paraId="3D062D9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2.1 招标文件的组成</w:t>
      </w:r>
    </w:p>
    <w:p w14:paraId="158AA75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本招标文件包括：</w:t>
      </w:r>
    </w:p>
    <w:p w14:paraId="4B80893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（1）招标公告；</w:t>
      </w:r>
    </w:p>
    <w:p w14:paraId="5640516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（2）投标人须知；</w:t>
      </w:r>
    </w:p>
    <w:p w14:paraId="0470FB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（3）评标办法；</w:t>
      </w:r>
    </w:p>
    <w:p w14:paraId="328070D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（4）合同条款及格式；</w:t>
      </w:r>
    </w:p>
    <w:p w14:paraId="25FD3448">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auto"/>
          <w:kern w:val="0"/>
          <w:szCs w:val="21"/>
          <w:highlight w:val="none"/>
        </w:rPr>
        <w:t>5）采购需求</w:t>
      </w:r>
    </w:p>
    <w:p w14:paraId="227A1985">
      <w:pPr>
        <w:autoSpaceDE w:val="0"/>
        <w:autoSpaceDN w:val="0"/>
        <w:adjustRightInd w:val="0"/>
        <w:spacing w:line="360" w:lineRule="auto"/>
        <w:ind w:firstLine="525" w:firstLineChars="25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 投标文件格式；</w:t>
      </w:r>
    </w:p>
    <w:p w14:paraId="7E14399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（7）附件。</w:t>
      </w:r>
    </w:p>
    <w:p w14:paraId="5FFF0AE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根据本章第1.10 款、第2.2 款和第2.3 款对招标文件所作的澄清、修改，构成招标文件的组成部分。</w:t>
      </w:r>
    </w:p>
    <w:p w14:paraId="63E962B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 招标文件的澄清</w:t>
      </w:r>
    </w:p>
    <w:p w14:paraId="1C74DC7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14:paraId="2807784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2.2.2 招标文件的澄清将在投标人须知前附表规定的投标截止时间15天前通过政采云平台进行澄清。</w:t>
      </w:r>
    </w:p>
    <w:p w14:paraId="786219C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 招标文件的修改</w:t>
      </w:r>
    </w:p>
    <w:p w14:paraId="1A1F406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2.3.1 在投标截止时间15天前，通过政采云平台进行修改。如果修改招标文件的时间距投标截止时间不足15 天，相应延长投标截止时间。</w:t>
      </w:r>
    </w:p>
    <w:p w14:paraId="43ED4A68">
      <w:pPr>
        <w:pStyle w:val="5"/>
        <w:numPr>
          <w:ilvl w:val="0"/>
          <w:numId w:val="0"/>
        </w:numPr>
        <w:jc w:val="both"/>
        <w:rPr>
          <w:rFonts w:hint="eastAsia" w:ascii="宋体" w:hAnsi="宋体" w:cs="宋体"/>
          <w:bCs/>
          <w:color w:val="000000"/>
          <w:sz w:val="21"/>
          <w:szCs w:val="21"/>
          <w:highlight w:val="none"/>
        </w:rPr>
      </w:pPr>
      <w:bookmarkStart w:id="15" w:name="_Toc471222466"/>
      <w:bookmarkStart w:id="16" w:name="_Toc452632695"/>
      <w:bookmarkStart w:id="17" w:name="_Toc24167"/>
      <w:bookmarkStart w:id="18" w:name="_Toc230599442"/>
      <w:r>
        <w:rPr>
          <w:rFonts w:hint="eastAsia" w:ascii="宋体" w:hAnsi="宋体" w:cs="宋体"/>
          <w:bCs/>
          <w:color w:val="000000"/>
          <w:sz w:val="21"/>
          <w:szCs w:val="21"/>
          <w:highlight w:val="none"/>
        </w:rPr>
        <w:t>3. 投标文件</w:t>
      </w:r>
      <w:bookmarkEnd w:id="15"/>
      <w:bookmarkEnd w:id="16"/>
      <w:bookmarkEnd w:id="17"/>
      <w:bookmarkEnd w:id="18"/>
    </w:p>
    <w:p w14:paraId="4FFF5085">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3.1 投标文件的组成</w:t>
      </w:r>
    </w:p>
    <w:p w14:paraId="35108453">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3.1.1 投标文件分为商务部分和技术部分。商务部分是投标人提交的证明其具有合格的投标资格和中标后有能力履行合同的文件。技术部分是能够证明投标人所提供服务的合格性和符合招标文件规定的文件。</w:t>
      </w:r>
    </w:p>
    <w:p w14:paraId="191BA0F0">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3.1.2 投标人应提交本招标文件第六章《投标文件格式》规定的全部商务文件和技术文件，若有缺失、无效或者不符合招标文件要求，将导致其投标被拒绝。</w:t>
      </w:r>
    </w:p>
    <w:p w14:paraId="07860EE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 投标有效期</w:t>
      </w:r>
    </w:p>
    <w:p w14:paraId="65F5FDF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3.2.1 在投标人须知前附表规定的投标有效期内，投标人不得要求撤销或修改其投标文件。</w:t>
      </w:r>
    </w:p>
    <w:p w14:paraId="7358425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3.2.2 出现特殊情况需要延长投标有效期的，采购人以书面形式通知所有投标人延长投标有效期。</w:t>
      </w:r>
    </w:p>
    <w:p w14:paraId="370CF7CC">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 投标保证金（递交投标保证金的单位适用本条款，不递交的不适用）</w:t>
      </w:r>
    </w:p>
    <w:p w14:paraId="5954367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3.3.1 投标人在递交投标文件的同时，应按投标人须知前附表规定的金额、担保形式和第六章“投标文件格式”规定的投标保证金格式递交投标保证金，并作为其投标文件的组成部分。投标人还应在银行进账单或电汇凭证上明确用途、投标项目名称、联系人及电话，以便核对查实。所交保证金手续不得重复使用，一项目一收退。</w:t>
      </w:r>
    </w:p>
    <w:p w14:paraId="4F7D37D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3.3.2 投标人不按本章第3.3.1 项要求提交投标保证金的，其投标文件作废标处理。</w:t>
      </w:r>
      <w:r>
        <w:rPr>
          <w:rFonts w:hint="eastAsia" w:ascii="宋体" w:hAnsi="宋体" w:cs="宋体"/>
          <w:color w:val="000000"/>
          <w:szCs w:val="21"/>
          <w:highlight w:val="none"/>
        </w:rPr>
        <w:t>中标通知书发出后5个工作日内，采购代理机构向未中标的投标人退还投标保证金；中标人与采购人签订合同，并按要求提交招标代理服务费后5个工作日内，采购代理机构向中标人退还投标保证金。</w:t>
      </w:r>
    </w:p>
    <w:p w14:paraId="7ADD226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3.3.3 有下列情形之一的，投标保证金将不予退还：</w:t>
      </w:r>
    </w:p>
    <w:p w14:paraId="2B4DEB8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（1）投标人无故不参加开标会议的；</w:t>
      </w:r>
    </w:p>
    <w:p w14:paraId="480D42FC">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（2）投标人在投标有效期内撤回投标文件的；</w:t>
      </w:r>
    </w:p>
    <w:p w14:paraId="05D8EFDD">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（3）中标通知书发出后，中标人无故放弃中标项目或无正当理由在规定时间内不与采购人签订合同的。</w:t>
      </w:r>
    </w:p>
    <w:p w14:paraId="0B687E6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（4）其他违反法律法规的情况。</w:t>
      </w:r>
    </w:p>
    <w:p w14:paraId="4F4FEBF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3.3.4 招标项目被投诉，在调查处理期间该项目的投标保证金暂不退还，待处理结果明确后按规定处理。</w:t>
      </w:r>
    </w:p>
    <w:p w14:paraId="6ECDC9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3.3.5 投标人缴纳和退还投标保证金单位名称，必须与投标单位的名称相一致。</w:t>
      </w:r>
    </w:p>
    <w:p w14:paraId="2957DF6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3.4 备选投标方案</w:t>
      </w:r>
    </w:p>
    <w:p w14:paraId="1080DE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本项目不接受备选投标方案。</w:t>
      </w:r>
    </w:p>
    <w:p w14:paraId="6EF9501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 投标文件的编制</w:t>
      </w:r>
    </w:p>
    <w:p w14:paraId="75F1D05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3.5.1 投标文件应按第六章“投标文件格式”进行编写，如有必要，可以增加附页，作为投标文件的组成部分。</w:t>
      </w:r>
    </w:p>
    <w:p w14:paraId="23451F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3.5.2 投标文件应当对招标文件有关合同履行期限、投标有效期、服务质量、服务方案等实质性内容作出响应。</w:t>
      </w:r>
    </w:p>
    <w:p w14:paraId="382C9379">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3.5.3本项目进行电子投标，所有内容均需要按照投标文件格式要求进行编写。</w:t>
      </w:r>
    </w:p>
    <w:p w14:paraId="127D3BAE">
      <w:pPr>
        <w:pStyle w:val="5"/>
        <w:numPr>
          <w:ilvl w:val="0"/>
          <w:numId w:val="0"/>
        </w:numPr>
        <w:jc w:val="both"/>
        <w:rPr>
          <w:rFonts w:hint="eastAsia" w:ascii="宋体" w:hAnsi="宋体" w:cs="宋体"/>
          <w:bCs/>
          <w:color w:val="000000"/>
          <w:sz w:val="21"/>
          <w:szCs w:val="21"/>
          <w:highlight w:val="none"/>
        </w:rPr>
      </w:pPr>
      <w:bookmarkStart w:id="19" w:name="_Toc471222467"/>
      <w:bookmarkStart w:id="20" w:name="_Toc7558"/>
      <w:bookmarkStart w:id="21" w:name="_Toc452632696"/>
      <w:bookmarkStart w:id="22" w:name="_Toc230599443"/>
      <w:r>
        <w:rPr>
          <w:rFonts w:hint="eastAsia" w:ascii="宋体" w:hAnsi="宋体" w:cs="宋体"/>
          <w:bCs/>
          <w:color w:val="000000"/>
          <w:sz w:val="21"/>
          <w:szCs w:val="21"/>
          <w:highlight w:val="none"/>
        </w:rPr>
        <w:t>4. 投标</w:t>
      </w:r>
      <w:bookmarkEnd w:id="19"/>
      <w:bookmarkEnd w:id="20"/>
      <w:bookmarkEnd w:id="21"/>
      <w:bookmarkEnd w:id="22"/>
    </w:p>
    <w:p w14:paraId="792A8AF6">
      <w:pPr>
        <w:spacing w:line="360" w:lineRule="auto"/>
        <w:ind w:firstLine="420" w:firstLineChars="200"/>
        <w:rPr>
          <w:rFonts w:ascii="宋体" w:hAnsi="宋体"/>
          <w:highlight w:val="none"/>
        </w:rPr>
      </w:pPr>
      <w:bookmarkStart w:id="23" w:name="_Toc230599444"/>
      <w:bookmarkStart w:id="24" w:name="_Toc452632697"/>
      <w:bookmarkStart w:id="25" w:name="_Toc471222468"/>
      <w:r>
        <w:rPr>
          <w:rFonts w:ascii="宋体" w:hAnsi="宋体"/>
          <w:highlight w:val="none"/>
        </w:rPr>
        <w:t>投标人按照招标文件规定，在规定时间内将电子版文件上传，中标单位需在领取中标通知书前递交</w:t>
      </w:r>
      <w:r>
        <w:rPr>
          <w:rFonts w:hint="eastAsia" w:ascii="宋体" w:hAnsi="宋体"/>
          <w:highlight w:val="none"/>
        </w:rPr>
        <w:t>书面投标文件一套（一正四副）及电子版（U盘）一份</w:t>
      </w:r>
      <w:r>
        <w:rPr>
          <w:rFonts w:ascii="宋体" w:hAnsi="宋体"/>
          <w:highlight w:val="none"/>
        </w:rPr>
        <w:t>。</w:t>
      </w:r>
    </w:p>
    <w:p w14:paraId="0375AAE7">
      <w:pPr>
        <w:pStyle w:val="5"/>
        <w:numPr>
          <w:ilvl w:val="0"/>
          <w:numId w:val="0"/>
        </w:numPr>
        <w:jc w:val="both"/>
        <w:rPr>
          <w:rFonts w:hint="eastAsia" w:ascii="宋体" w:hAnsi="宋体" w:cs="宋体"/>
          <w:bCs/>
          <w:color w:val="000000"/>
          <w:sz w:val="21"/>
          <w:szCs w:val="21"/>
          <w:highlight w:val="none"/>
        </w:rPr>
      </w:pPr>
      <w:bookmarkStart w:id="26" w:name="_Toc19721"/>
      <w:r>
        <w:rPr>
          <w:rFonts w:hint="eastAsia" w:ascii="宋体" w:hAnsi="宋体" w:cs="宋体"/>
          <w:bCs/>
          <w:color w:val="000000"/>
          <w:sz w:val="21"/>
          <w:szCs w:val="21"/>
          <w:highlight w:val="none"/>
        </w:rPr>
        <w:t>5. 开标</w:t>
      </w:r>
      <w:bookmarkEnd w:id="23"/>
      <w:bookmarkEnd w:id="24"/>
      <w:bookmarkEnd w:id="25"/>
      <w:bookmarkEnd w:id="26"/>
    </w:p>
    <w:p w14:paraId="255FC3F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5.1 开标时间和地点</w:t>
      </w:r>
    </w:p>
    <w:p w14:paraId="05D0DAB1">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详见招标公告</w:t>
      </w:r>
    </w:p>
    <w:p w14:paraId="597C441E">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5.2 开标程序</w:t>
      </w:r>
    </w:p>
    <w:p w14:paraId="032044BD">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主持人按下列程序进行开标：</w:t>
      </w:r>
    </w:p>
    <w:p w14:paraId="7B5EF3B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（1）宣布开标纪律；</w:t>
      </w:r>
    </w:p>
    <w:p w14:paraId="058D9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（2）公布在投标截止时间前递交投标文件的投标人名称；</w:t>
      </w:r>
    </w:p>
    <w:p w14:paraId="6911B47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（3）宣布开标人、唱标人、记录人等有关人员姓名；</w:t>
      </w:r>
    </w:p>
    <w:p w14:paraId="5AFCF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（4）开标，公布投标人名称、投标报价及其他内容；</w:t>
      </w:r>
    </w:p>
    <w:p w14:paraId="289124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（5）投标人代表在政采云平台确认报价；</w:t>
      </w:r>
    </w:p>
    <w:p w14:paraId="43B227B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（6）开标结束。</w:t>
      </w:r>
    </w:p>
    <w:p w14:paraId="56B9355A">
      <w:pPr>
        <w:autoSpaceDE w:val="0"/>
        <w:autoSpaceDN w:val="0"/>
        <w:adjustRightInd w:val="0"/>
        <w:spacing w:line="360" w:lineRule="auto"/>
        <w:ind w:firstLine="420" w:firstLineChars="200"/>
        <w:jc w:val="left"/>
        <w:rPr>
          <w:highlight w:val="none"/>
        </w:rPr>
      </w:pPr>
      <w:r>
        <w:rPr>
          <w:rFonts w:hint="eastAsia" w:ascii="宋体" w:hAnsi="宋体" w:cs="宋体"/>
          <w:color w:val="000000"/>
          <w:kern w:val="0"/>
          <w:szCs w:val="21"/>
          <w:highlight w:val="none"/>
        </w:rPr>
        <w:t>以上开标程序仅供参考，具体以政采云平台现场为准，政采云开标，只需要解密即可，其他内容，投标人注意观看自己解密电脑屏幕，即可获取开标相关信息。</w:t>
      </w:r>
    </w:p>
    <w:p w14:paraId="53B2E5BD">
      <w:pPr>
        <w:pStyle w:val="5"/>
        <w:numPr>
          <w:ilvl w:val="0"/>
          <w:numId w:val="0"/>
        </w:numPr>
        <w:jc w:val="both"/>
        <w:rPr>
          <w:rFonts w:hint="eastAsia" w:ascii="宋体" w:hAnsi="宋体" w:cs="宋体"/>
          <w:bCs/>
          <w:color w:val="000000"/>
          <w:sz w:val="21"/>
          <w:szCs w:val="21"/>
          <w:highlight w:val="none"/>
        </w:rPr>
      </w:pPr>
      <w:bookmarkStart w:id="27" w:name="_Toc7950"/>
      <w:bookmarkStart w:id="28" w:name="_Toc452632698"/>
      <w:bookmarkStart w:id="29" w:name="_Toc471222469"/>
      <w:bookmarkStart w:id="30" w:name="_Toc230599445"/>
      <w:r>
        <w:rPr>
          <w:rFonts w:hint="eastAsia" w:ascii="宋体" w:hAnsi="宋体" w:cs="宋体"/>
          <w:bCs/>
          <w:color w:val="000000"/>
          <w:sz w:val="21"/>
          <w:szCs w:val="21"/>
          <w:highlight w:val="none"/>
        </w:rPr>
        <w:t>6. 评标</w:t>
      </w:r>
      <w:bookmarkEnd w:id="27"/>
      <w:bookmarkEnd w:id="28"/>
      <w:bookmarkEnd w:id="29"/>
      <w:bookmarkEnd w:id="30"/>
    </w:p>
    <w:p w14:paraId="03D07BE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 评标委员会</w:t>
      </w:r>
    </w:p>
    <w:p w14:paraId="49C4152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6.1.1 评标由采购人依法组建的评标委员会负责。评标委员会成员均为政采云平台专家库随机抽取。评标委员会成员人数以及技术、经济等方面专家的确定方式见投标人须知前附表。</w:t>
      </w:r>
    </w:p>
    <w:p w14:paraId="37AD118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6.1.2 评标委员会成员有下列情形之一的，应当回避：</w:t>
      </w:r>
    </w:p>
    <w:p w14:paraId="06FFDA4D">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（1）采购人或投标人的主要负责人的近亲属；</w:t>
      </w:r>
    </w:p>
    <w:p w14:paraId="768CC724">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（2）项目主管部门或者行政监督部门的人员；</w:t>
      </w:r>
    </w:p>
    <w:p w14:paraId="104FF5F6">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（3）与投标人有经济利益关系，可能影响对投标公正评审的；</w:t>
      </w:r>
    </w:p>
    <w:p w14:paraId="1B9D2D28">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（4）曾因在招标、评标以及其他与招标投标有关活动中从事违法行为而受过行政处罚或刑事处罚的。</w:t>
      </w:r>
    </w:p>
    <w:p w14:paraId="2D29B53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6.2 评标原则</w:t>
      </w:r>
    </w:p>
    <w:p w14:paraId="5EBB19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评标活动遵循公平、公正、科学和择优的原则。</w:t>
      </w:r>
    </w:p>
    <w:p w14:paraId="609AA4C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6.3 评标</w:t>
      </w:r>
    </w:p>
    <w:p w14:paraId="0338C6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评标委员会按照第三章“评标办法”规定的方法、评审因素、标准和程序对投标文件进行评审。第三章“评标办法”没有规定的方法、评审因素和标准，不作为评标依据。</w:t>
      </w:r>
    </w:p>
    <w:p w14:paraId="010E279A">
      <w:pPr>
        <w:pStyle w:val="5"/>
        <w:numPr>
          <w:ilvl w:val="0"/>
          <w:numId w:val="0"/>
        </w:numPr>
        <w:jc w:val="both"/>
        <w:rPr>
          <w:rFonts w:hint="eastAsia" w:ascii="宋体" w:hAnsi="宋体" w:cs="宋体"/>
          <w:bCs/>
          <w:color w:val="000000"/>
          <w:sz w:val="21"/>
          <w:szCs w:val="21"/>
          <w:highlight w:val="none"/>
        </w:rPr>
      </w:pPr>
      <w:bookmarkStart w:id="31" w:name="_Toc20929"/>
      <w:bookmarkStart w:id="32" w:name="_Toc452632699"/>
      <w:bookmarkStart w:id="33" w:name="_Toc230599446"/>
      <w:bookmarkStart w:id="34" w:name="_Toc471222470"/>
      <w:r>
        <w:rPr>
          <w:rFonts w:hint="eastAsia" w:ascii="宋体" w:hAnsi="宋体" w:cs="宋体"/>
          <w:bCs/>
          <w:color w:val="000000"/>
          <w:sz w:val="21"/>
          <w:szCs w:val="21"/>
          <w:highlight w:val="none"/>
        </w:rPr>
        <w:t>7. 合同授予</w:t>
      </w:r>
      <w:bookmarkEnd w:id="31"/>
      <w:bookmarkEnd w:id="32"/>
      <w:bookmarkEnd w:id="33"/>
      <w:bookmarkEnd w:id="34"/>
    </w:p>
    <w:p w14:paraId="2077F76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7.1 定标方式</w:t>
      </w:r>
    </w:p>
    <w:p w14:paraId="4D7F4E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除投标人须知前附表规定评标委员会直接确定中标人外，采购人依据评标委员会推荐的中标候选人确定中标人，评标委员会推荐中标候选人的人数见投标人须知前附表。</w:t>
      </w:r>
    </w:p>
    <w:p w14:paraId="6FC41CA3">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7.2 中标通知</w:t>
      </w:r>
    </w:p>
    <w:p w14:paraId="0087F1D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在本章第3.2款规定的投标有效期内，采购人根据评标报告确定中标人，并同时在发布招标公告的媒介公告中标人情况。采购人同时以书面形式向中标人发出中标通知书。</w:t>
      </w:r>
      <w:r>
        <w:rPr>
          <w:rFonts w:hint="eastAsia" w:ascii="宋体" w:hAnsi="宋体" w:cs="宋体"/>
          <w:bCs/>
          <w:color w:val="000000"/>
          <w:kern w:val="0"/>
          <w:szCs w:val="21"/>
          <w:highlight w:val="none"/>
        </w:rPr>
        <w:t>采购人不保证投标报价最低的投标人中标，也没有义务对未中标的投标人作任何解释和说明。</w:t>
      </w:r>
    </w:p>
    <w:p w14:paraId="37F034F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 签订合同</w:t>
      </w:r>
    </w:p>
    <w:p w14:paraId="6FD5F81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7.3.1 采购人和中标人应当自中标通知书发出之日起30天内，根据招标文件和中标人的投标文件订立书面合同。中标人无正当理由拒签合同的，采购人取消其中标资格，并且对采购人损失进行赔偿。</w:t>
      </w:r>
    </w:p>
    <w:p w14:paraId="692EAF41">
      <w:pPr>
        <w:pStyle w:val="5"/>
        <w:numPr>
          <w:ilvl w:val="0"/>
          <w:numId w:val="0"/>
        </w:numPr>
        <w:jc w:val="both"/>
        <w:rPr>
          <w:rFonts w:hint="eastAsia" w:ascii="宋体" w:hAnsi="宋体" w:cs="宋体"/>
          <w:bCs/>
          <w:color w:val="000000"/>
          <w:sz w:val="21"/>
          <w:szCs w:val="21"/>
          <w:highlight w:val="none"/>
        </w:rPr>
      </w:pPr>
      <w:bookmarkStart w:id="35" w:name="_Toc230599447"/>
      <w:bookmarkStart w:id="36" w:name="_Toc8215"/>
      <w:bookmarkStart w:id="37" w:name="_Toc452632700"/>
      <w:bookmarkStart w:id="38" w:name="_Toc471222471"/>
      <w:r>
        <w:rPr>
          <w:rFonts w:hint="eastAsia" w:ascii="宋体" w:hAnsi="宋体" w:cs="宋体"/>
          <w:bCs/>
          <w:color w:val="000000"/>
          <w:sz w:val="21"/>
          <w:szCs w:val="21"/>
          <w:highlight w:val="none"/>
        </w:rPr>
        <w:t>8. 重新招标和不再招标</w:t>
      </w:r>
      <w:bookmarkEnd w:id="35"/>
      <w:bookmarkEnd w:id="36"/>
      <w:bookmarkEnd w:id="37"/>
      <w:bookmarkEnd w:id="38"/>
    </w:p>
    <w:p w14:paraId="11180EC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8.1 重新招标</w:t>
      </w:r>
    </w:p>
    <w:p w14:paraId="6F4CA46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有下列情形之一的，采购人将重新招标：</w:t>
      </w:r>
    </w:p>
    <w:p w14:paraId="1E0C5F7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（1）投标截止时间止，投标人少于3 个的；</w:t>
      </w:r>
    </w:p>
    <w:p w14:paraId="24B6920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（2）经评标委员会评审后否决所有投标的；</w:t>
      </w:r>
    </w:p>
    <w:p w14:paraId="0E22A6F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（3）经评标委员会评审后有效投标人不足3家的。</w:t>
      </w:r>
    </w:p>
    <w:p w14:paraId="0E65B0F1">
      <w:pPr>
        <w:pStyle w:val="19"/>
        <w:rPr>
          <w:rFonts w:hint="eastAsia" w:hAnsi="宋体" w:cs="宋体"/>
          <w:highlight w:val="none"/>
        </w:rPr>
      </w:pPr>
      <w:r>
        <w:rPr>
          <w:rFonts w:hint="eastAsia" w:hAnsi="宋体" w:cs="宋体"/>
          <w:highlight w:val="none"/>
        </w:rPr>
        <w:t xml:space="preserve">    （4）法律规定的其他情形</w:t>
      </w:r>
    </w:p>
    <w:p w14:paraId="75C3A7E6">
      <w:pPr>
        <w:pStyle w:val="5"/>
        <w:numPr>
          <w:ilvl w:val="0"/>
          <w:numId w:val="0"/>
        </w:numPr>
        <w:jc w:val="both"/>
        <w:rPr>
          <w:rFonts w:hint="eastAsia" w:ascii="宋体" w:hAnsi="宋体" w:cs="宋体"/>
          <w:bCs/>
          <w:color w:val="000000"/>
          <w:sz w:val="21"/>
          <w:szCs w:val="21"/>
          <w:highlight w:val="none"/>
        </w:rPr>
      </w:pPr>
      <w:bookmarkStart w:id="39" w:name="_Toc8121"/>
      <w:bookmarkStart w:id="40" w:name="_Toc452632701"/>
      <w:bookmarkStart w:id="41" w:name="_Toc230599448"/>
      <w:bookmarkStart w:id="42" w:name="_Toc471222472"/>
      <w:r>
        <w:rPr>
          <w:rFonts w:hint="eastAsia" w:ascii="宋体" w:hAnsi="宋体" w:cs="宋体"/>
          <w:bCs/>
          <w:color w:val="000000"/>
          <w:sz w:val="21"/>
          <w:szCs w:val="21"/>
          <w:highlight w:val="none"/>
        </w:rPr>
        <w:t>9. 纪律和监督</w:t>
      </w:r>
      <w:bookmarkEnd w:id="39"/>
      <w:bookmarkEnd w:id="40"/>
      <w:bookmarkEnd w:id="41"/>
      <w:bookmarkEnd w:id="42"/>
    </w:p>
    <w:p w14:paraId="75D0F83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9.1 对采购人的纪律要求</w:t>
      </w:r>
    </w:p>
    <w:p w14:paraId="56337C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采购人不得泄漏招标投标活动中应当保密的情况和资料，不得与投标人串通损害国家利益、社会公共利益或者他人合法权益。</w:t>
      </w:r>
    </w:p>
    <w:p w14:paraId="6841B8C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9.2 对投标人的纪律要求</w:t>
      </w:r>
    </w:p>
    <w:p w14:paraId="7776611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1557877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9.3 对评标委员会成员的纪律要求</w:t>
      </w:r>
    </w:p>
    <w:p w14:paraId="2821B99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05681E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9.4 对与评标活动有关的工作人员的纪律要求</w:t>
      </w:r>
    </w:p>
    <w:p w14:paraId="19A22DE0">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6192E6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9.5 投诉</w:t>
      </w:r>
    </w:p>
    <w:p w14:paraId="5D8CB9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投标人和其他利害关系人认为本次招标活动违反法律、法规和规章规定的，有权向有关行政监督部门投诉。</w:t>
      </w:r>
    </w:p>
    <w:p w14:paraId="3B6C2DC5">
      <w:pPr>
        <w:pStyle w:val="5"/>
        <w:numPr>
          <w:ilvl w:val="0"/>
          <w:numId w:val="0"/>
        </w:numPr>
        <w:jc w:val="both"/>
        <w:rPr>
          <w:rFonts w:hint="eastAsia" w:ascii="宋体" w:hAnsi="宋体" w:cs="宋体"/>
          <w:bCs/>
          <w:color w:val="000000"/>
          <w:sz w:val="21"/>
          <w:szCs w:val="21"/>
          <w:highlight w:val="none"/>
        </w:rPr>
      </w:pPr>
      <w:bookmarkStart w:id="43" w:name="_Toc471222473"/>
      <w:bookmarkStart w:id="44" w:name="_Toc230599449"/>
      <w:bookmarkStart w:id="45" w:name="_Toc18199"/>
      <w:bookmarkStart w:id="46" w:name="_Toc452632702"/>
      <w:r>
        <w:rPr>
          <w:rFonts w:hint="eastAsia" w:ascii="宋体" w:hAnsi="宋体" w:cs="宋体"/>
          <w:bCs/>
          <w:color w:val="000000"/>
          <w:sz w:val="21"/>
          <w:szCs w:val="21"/>
          <w:highlight w:val="none"/>
        </w:rPr>
        <w:t>10. 需要补充的其他内容</w:t>
      </w:r>
      <w:bookmarkEnd w:id="43"/>
      <w:bookmarkEnd w:id="44"/>
      <w:bookmarkEnd w:id="45"/>
      <w:bookmarkEnd w:id="46"/>
    </w:p>
    <w:p w14:paraId="5E3CCA84">
      <w:pPr>
        <w:autoSpaceDE w:val="0"/>
        <w:autoSpaceDN w:val="0"/>
        <w:adjustRightInd w:val="0"/>
        <w:spacing w:line="360" w:lineRule="auto"/>
        <w:ind w:firstLine="420" w:firstLineChars="200"/>
        <w:jc w:val="left"/>
        <w:rPr>
          <w:rFonts w:hint="eastAsia" w:ascii="宋体" w:hAnsi="宋体" w:cs="宋体"/>
          <w:color w:val="000000"/>
          <w:kern w:val="0"/>
          <w:sz w:val="24"/>
          <w:highlight w:val="none"/>
          <w:shd w:val="clear" w:color="auto" w:fill="FFFFFF"/>
        </w:rPr>
      </w:pPr>
      <w:r>
        <w:rPr>
          <w:rFonts w:hint="eastAsia" w:ascii="宋体" w:hAnsi="宋体" w:cs="宋体"/>
          <w:color w:val="000000"/>
          <w:kern w:val="0"/>
          <w:szCs w:val="21"/>
          <w:highlight w:val="none"/>
        </w:rPr>
        <w:t>需要补充的其他内容：见投标人须知前附表</w:t>
      </w:r>
    </w:p>
    <w:p w14:paraId="47558D5E">
      <w:pPr>
        <w:pStyle w:val="73"/>
        <w:rPr>
          <w:rFonts w:hint="eastAsia" w:eastAsia="宋体"/>
          <w:highlight w:val="none"/>
          <w:shd w:val="clear" w:color="auto" w:fill="FFFFFF"/>
        </w:rPr>
      </w:pPr>
    </w:p>
    <w:p w14:paraId="6AEAF427">
      <w:pPr>
        <w:pStyle w:val="73"/>
        <w:rPr>
          <w:rFonts w:hint="eastAsia" w:eastAsia="宋体"/>
          <w:highlight w:val="none"/>
          <w:shd w:val="clear" w:color="auto" w:fill="FFFFFF"/>
        </w:rPr>
      </w:pPr>
    </w:p>
    <w:p w14:paraId="456D678C">
      <w:pPr>
        <w:pStyle w:val="73"/>
        <w:rPr>
          <w:rFonts w:hint="eastAsia" w:eastAsia="宋体"/>
          <w:highlight w:val="none"/>
          <w:shd w:val="clear" w:color="auto" w:fill="FFFFFF"/>
        </w:rPr>
      </w:pPr>
    </w:p>
    <w:p w14:paraId="67B24378">
      <w:pPr>
        <w:pStyle w:val="73"/>
        <w:rPr>
          <w:rFonts w:hint="eastAsia" w:eastAsia="宋体"/>
          <w:highlight w:val="none"/>
          <w:shd w:val="clear" w:color="auto" w:fill="FFFFFF"/>
        </w:rPr>
      </w:pPr>
    </w:p>
    <w:p w14:paraId="4AA32095">
      <w:pPr>
        <w:pStyle w:val="73"/>
        <w:rPr>
          <w:rFonts w:hint="eastAsia" w:eastAsia="宋体"/>
          <w:highlight w:val="none"/>
          <w:shd w:val="clear" w:color="auto" w:fill="FFFFFF"/>
        </w:rPr>
      </w:pPr>
    </w:p>
    <w:p w14:paraId="5E5A89C1">
      <w:pPr>
        <w:pStyle w:val="73"/>
        <w:rPr>
          <w:rFonts w:hint="eastAsia" w:eastAsia="宋体"/>
          <w:highlight w:val="none"/>
          <w:shd w:val="clear" w:color="auto" w:fill="FFFFFF"/>
        </w:rPr>
      </w:pPr>
    </w:p>
    <w:p w14:paraId="6872A105">
      <w:pPr>
        <w:pStyle w:val="73"/>
        <w:rPr>
          <w:rFonts w:hint="eastAsia" w:eastAsia="宋体"/>
          <w:highlight w:val="none"/>
          <w:shd w:val="clear" w:color="auto" w:fill="FFFFFF"/>
        </w:rPr>
      </w:pPr>
    </w:p>
    <w:p w14:paraId="7786402E">
      <w:pPr>
        <w:pStyle w:val="73"/>
        <w:rPr>
          <w:rFonts w:hint="eastAsia" w:eastAsia="宋体"/>
          <w:highlight w:val="none"/>
          <w:shd w:val="clear" w:color="auto" w:fill="FFFFFF"/>
        </w:rPr>
      </w:pPr>
    </w:p>
    <w:p w14:paraId="0C73BF26">
      <w:pPr>
        <w:pStyle w:val="73"/>
        <w:rPr>
          <w:rFonts w:hint="eastAsia" w:eastAsia="宋体"/>
          <w:highlight w:val="none"/>
          <w:shd w:val="clear" w:color="auto" w:fill="FFFFFF"/>
        </w:rPr>
      </w:pPr>
    </w:p>
    <w:p w14:paraId="252F5BC0">
      <w:pPr>
        <w:pStyle w:val="73"/>
        <w:rPr>
          <w:rFonts w:hint="eastAsia" w:eastAsia="宋体"/>
          <w:highlight w:val="none"/>
          <w:shd w:val="clear" w:color="auto" w:fill="FFFFFF"/>
        </w:rPr>
      </w:pPr>
    </w:p>
    <w:p w14:paraId="6CB7FC2A">
      <w:pPr>
        <w:rPr>
          <w:rFonts w:hint="eastAsia" w:ascii="宋体" w:hAnsi="宋体" w:cs="宋体"/>
          <w:color w:val="000000"/>
          <w:kern w:val="0"/>
          <w:sz w:val="24"/>
          <w:highlight w:val="none"/>
        </w:rPr>
        <w:sectPr>
          <w:headerReference r:id="rId6" w:type="default"/>
          <w:footerReference r:id="rId7" w:type="default"/>
          <w:pgSz w:w="11906" w:h="16838"/>
          <w:pgMar w:top="1440" w:right="1752" w:bottom="1440" w:left="1797" w:header="680" w:footer="907" w:gutter="0"/>
          <w:cols w:space="720" w:num="1"/>
          <w:docGrid w:linePitch="286" w:charSpace="0"/>
        </w:sectPr>
      </w:pPr>
    </w:p>
    <w:p w14:paraId="3C9D3E1A">
      <w:pPr>
        <w:pStyle w:val="2"/>
        <w:bidi w:val="0"/>
        <w:rPr>
          <w:rFonts w:hint="eastAsia" w:ascii="宋体" w:hAnsi="宋体" w:eastAsia="宋体" w:cs="宋体"/>
          <w:b/>
          <w:bCs/>
          <w:sz w:val="40"/>
          <w:szCs w:val="15"/>
          <w:highlight w:val="none"/>
        </w:rPr>
      </w:pPr>
      <w:bookmarkStart w:id="47" w:name="_Toc230599450"/>
      <w:bookmarkStart w:id="48" w:name="OLE_LINK2"/>
      <w:bookmarkStart w:id="49" w:name="_Toc27551"/>
      <w:r>
        <w:rPr>
          <w:rFonts w:hint="eastAsia" w:ascii="宋体" w:hAnsi="宋体" w:eastAsia="宋体" w:cs="宋体"/>
          <w:b/>
          <w:bCs/>
          <w:sz w:val="40"/>
          <w:szCs w:val="15"/>
          <w:highlight w:val="none"/>
          <w:lang w:val="en-US" w:eastAsia="zh-CN"/>
        </w:rPr>
        <w:t xml:space="preserve">第三章 </w:t>
      </w:r>
      <w:r>
        <w:rPr>
          <w:rFonts w:hint="eastAsia" w:ascii="宋体" w:hAnsi="宋体" w:eastAsia="宋体" w:cs="宋体"/>
          <w:b/>
          <w:bCs/>
          <w:sz w:val="40"/>
          <w:szCs w:val="15"/>
          <w:highlight w:val="none"/>
        </w:rPr>
        <w:t>评标办法</w:t>
      </w:r>
      <w:bookmarkEnd w:id="47"/>
      <w:r>
        <w:rPr>
          <w:rFonts w:hint="eastAsia" w:ascii="宋体" w:hAnsi="宋体" w:eastAsia="宋体" w:cs="宋体"/>
          <w:b/>
          <w:bCs/>
          <w:sz w:val="40"/>
          <w:szCs w:val="15"/>
          <w:highlight w:val="none"/>
        </w:rPr>
        <w:t>（综合评分法）</w:t>
      </w:r>
      <w:bookmarkEnd w:id="48"/>
      <w:bookmarkEnd w:id="49"/>
    </w:p>
    <w:p w14:paraId="79328933">
      <w:pPr>
        <w:autoSpaceDE w:val="0"/>
        <w:autoSpaceDN w:val="0"/>
        <w:adjustRightInd w:val="0"/>
        <w:spacing w:line="400" w:lineRule="exact"/>
        <w:jc w:val="center"/>
        <w:rPr>
          <w:rFonts w:hint="eastAsia" w:ascii="宋体" w:hAnsi="宋体" w:cs="宋体"/>
          <w:b/>
          <w:bCs/>
          <w:szCs w:val="21"/>
          <w:highlight w:val="none"/>
        </w:rPr>
      </w:pPr>
      <w:r>
        <w:rPr>
          <w:rFonts w:hint="eastAsia" w:ascii="宋体" w:hAnsi="宋体" w:cs="宋体"/>
          <w:b/>
          <w:bCs/>
          <w:szCs w:val="21"/>
          <w:highlight w:val="none"/>
        </w:rPr>
        <w:t>资格性审查（一）</w:t>
      </w:r>
      <w:bookmarkStart w:id="50" w:name="_Toc246996242"/>
      <w:bookmarkStart w:id="51" w:name="_Toc152045599"/>
      <w:bookmarkStart w:id="52" w:name="_Toc179632617"/>
      <w:bookmarkStart w:id="53" w:name="_Toc409424330"/>
      <w:bookmarkStart w:id="54" w:name="_Toc468267472"/>
      <w:bookmarkStart w:id="55" w:name="_Toc246996985"/>
      <w:bookmarkStart w:id="56" w:name="_Toc152042376"/>
      <w:bookmarkStart w:id="57" w:name="_Toc247085757"/>
      <w:bookmarkStart w:id="58" w:name="_Toc409424391"/>
      <w:bookmarkStart w:id="59" w:name="_Toc144974566"/>
    </w:p>
    <w:tbl>
      <w:tblPr>
        <w:tblStyle w:val="38"/>
        <w:tblW w:w="81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2"/>
        <w:gridCol w:w="5907"/>
      </w:tblGrid>
      <w:tr w14:paraId="5E97C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blHeader/>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517E0493">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评审因素</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9252AC">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评审标准</w:t>
            </w:r>
          </w:p>
        </w:tc>
      </w:tr>
      <w:tr w14:paraId="72A5B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3F3F9059">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营业执照</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A551F26">
            <w:pPr>
              <w:keepNext w:val="0"/>
              <w:keepLines w:val="0"/>
              <w:suppressLineNumbers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具备有效的营业执照。标书内附加盖公章的复印件。</w:t>
            </w:r>
          </w:p>
        </w:tc>
      </w:tr>
      <w:tr w14:paraId="34F6F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BBD65D7">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szCs w:val="21"/>
                <w:highlight w:val="none"/>
              </w:rPr>
            </w:pPr>
            <w:r>
              <w:rPr>
                <w:rFonts w:hint="eastAsia" w:ascii="宋体" w:hAnsi="宋体" w:eastAsia="宋体" w:cs="宋体"/>
                <w:bCs/>
                <w:sz w:val="21"/>
                <w:szCs w:val="21"/>
                <w:highlight w:val="none"/>
                <w:lang w:val="en-US" w:eastAsia="zh-CN"/>
              </w:rPr>
              <w:t>满足《中华人民共和国政府采购法》第二十二条规定</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36F7D2A8">
            <w:pPr>
              <w:keepNext w:val="0"/>
              <w:keepLines w:val="0"/>
              <w:suppressLineNumbers w:val="0"/>
              <w:spacing w:before="0" w:beforeAutospacing="0" w:after="0" w:afterAutospacing="0" w:line="500" w:lineRule="exact"/>
              <w:ind w:left="0" w:leftChars="0" w:right="0" w:rightChars="0"/>
              <w:jc w:val="left"/>
              <w:rPr>
                <w:rFonts w:hint="eastAsia" w:ascii="宋体" w:hAnsi="宋体" w:cs="宋体"/>
                <w:szCs w:val="21"/>
                <w:highlight w:val="none"/>
              </w:rPr>
            </w:pPr>
            <w:r>
              <w:rPr>
                <w:rFonts w:hint="eastAsia" w:ascii="宋体" w:hAnsi="宋体" w:eastAsia="宋体" w:cs="宋体"/>
                <w:sz w:val="21"/>
                <w:szCs w:val="21"/>
                <w:highlight w:val="none"/>
                <w:lang w:val="en-US" w:eastAsia="zh-CN"/>
              </w:rPr>
              <w:t>投标文件中提供资格条件承诺函。</w:t>
            </w:r>
          </w:p>
        </w:tc>
      </w:tr>
      <w:tr w14:paraId="35436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F5A2294">
            <w:pPr>
              <w:keepNext w:val="0"/>
              <w:keepLines w:val="0"/>
              <w:suppressLineNumbers w:val="0"/>
              <w:spacing w:before="0" w:beforeAutospacing="0" w:after="0" w:afterAutospacing="0" w:line="500" w:lineRule="exact"/>
              <w:ind w:left="0" w:right="0"/>
              <w:jc w:val="center"/>
              <w:rPr>
                <w:rFonts w:hint="eastAsia" w:ascii="宋体" w:hAnsi="宋体" w:cs="宋体"/>
                <w:szCs w:val="21"/>
                <w:highlight w:val="none"/>
              </w:rPr>
            </w:pPr>
            <w:r>
              <w:rPr>
                <w:rFonts w:hint="eastAsia" w:ascii="宋体" w:hAnsi="宋体" w:eastAsia="宋体" w:cs="宋体"/>
                <w:color w:val="auto"/>
                <w:sz w:val="21"/>
                <w:szCs w:val="21"/>
                <w:highlight w:val="none"/>
                <w:lang w:val="zh-CN"/>
              </w:rPr>
              <w:t>落实政府采购政策需满足的资格要求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FE2EB55">
            <w:pPr>
              <w:keepNext w:val="0"/>
              <w:keepLines w:val="0"/>
              <w:suppressLineNumbers w:val="0"/>
              <w:spacing w:before="0" w:beforeAutospacing="0" w:after="0" w:afterAutospacing="0" w:line="500" w:lineRule="exact"/>
              <w:ind w:left="0" w:leftChars="0"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本项目专门面向中小企业采购，供应商须是中小微企业，残疾人福利性单位、监狱企业视同小型、微型企业。</w:t>
            </w:r>
          </w:p>
          <w:p w14:paraId="5D939DE8">
            <w:pPr>
              <w:keepNext w:val="0"/>
              <w:keepLines w:val="0"/>
              <w:suppressLineNumbers w:val="0"/>
              <w:spacing w:before="0" w:beforeAutospacing="0" w:after="0" w:afterAutospacing="0" w:line="500" w:lineRule="exact"/>
              <w:ind w:left="0" w:leftChars="0" w:right="0" w:rightChars="0"/>
              <w:jc w:val="left"/>
              <w:rPr>
                <w:rFonts w:ascii="宋体" w:hAnsi="宋体" w:cs="宋体"/>
                <w:szCs w:val="21"/>
                <w:highlight w:val="none"/>
              </w:rPr>
            </w:pPr>
            <w:r>
              <w:rPr>
                <w:rFonts w:hint="eastAsia" w:ascii="宋体" w:hAnsi="宋体" w:eastAsia="宋体" w:cs="宋体"/>
                <w:b w:val="0"/>
                <w:bCs w:val="0"/>
                <w:color w:val="auto"/>
                <w:kern w:val="2"/>
                <w:sz w:val="22"/>
                <w:szCs w:val="22"/>
                <w:highlight w:val="none"/>
                <w:lang w:val="zh-CN" w:eastAsia="zh-CN" w:bidi="ar-SA"/>
              </w:rPr>
              <w:t>标书内附中小企业</w:t>
            </w:r>
            <w:r>
              <w:rPr>
                <w:rFonts w:hint="eastAsia" w:ascii="宋体" w:hAnsi="宋体" w:eastAsia="宋体" w:cs="宋体"/>
                <w:b w:val="0"/>
                <w:bCs w:val="0"/>
                <w:color w:val="auto"/>
                <w:kern w:val="2"/>
                <w:sz w:val="22"/>
                <w:szCs w:val="22"/>
                <w:highlight w:val="none"/>
                <w:lang w:val="en-US" w:eastAsia="zh-CN" w:bidi="ar-SA"/>
              </w:rPr>
              <w:t>声明函</w:t>
            </w:r>
            <w:r>
              <w:rPr>
                <w:rFonts w:hint="eastAsia" w:ascii="宋体" w:hAnsi="宋体" w:eastAsia="宋体" w:cs="宋体"/>
                <w:b w:val="0"/>
                <w:bCs w:val="0"/>
                <w:color w:val="auto"/>
                <w:kern w:val="2"/>
                <w:sz w:val="22"/>
                <w:szCs w:val="22"/>
                <w:highlight w:val="none"/>
                <w:lang w:val="zh-CN" w:eastAsia="zh-CN" w:bidi="ar-SA"/>
              </w:rPr>
              <w:t>复印件加盖公章</w:t>
            </w:r>
            <w:r>
              <w:rPr>
                <w:rFonts w:hint="eastAsia" w:ascii="宋体" w:hAnsi="宋体" w:cs="宋体"/>
                <w:b w:val="0"/>
                <w:bCs w:val="0"/>
                <w:color w:val="auto"/>
                <w:kern w:val="2"/>
                <w:sz w:val="22"/>
                <w:szCs w:val="22"/>
                <w:highlight w:val="none"/>
                <w:lang w:val="zh-CN" w:eastAsia="zh-CN" w:bidi="ar-SA"/>
              </w:rPr>
              <w:t>。</w:t>
            </w:r>
          </w:p>
        </w:tc>
      </w:tr>
      <w:tr w14:paraId="69D06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1" w:hRule="atLeast"/>
          <w:jc w:val="center"/>
        </w:trPr>
        <w:tc>
          <w:tcPr>
            <w:tcW w:w="2292" w:type="dxa"/>
            <w:tcBorders>
              <w:top w:val="single" w:color="auto" w:sz="4" w:space="0"/>
              <w:left w:val="single" w:color="auto" w:sz="4" w:space="0"/>
              <w:right w:val="single" w:color="auto" w:sz="4" w:space="0"/>
            </w:tcBorders>
            <w:noWrap w:val="0"/>
            <w:vAlign w:val="center"/>
          </w:tcPr>
          <w:p w14:paraId="3440ED6F">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信誉要求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02B13D7E">
            <w:pPr>
              <w:keepNext w:val="0"/>
              <w:keepLines w:val="0"/>
              <w:suppressLineNumbers w:val="0"/>
              <w:spacing w:before="0" w:beforeAutospacing="0" w:after="0" w:afterAutospacing="0" w:line="300" w:lineRule="auto"/>
              <w:ind w:left="0" w:right="0"/>
              <w:jc w:val="left"/>
              <w:rPr>
                <w:rFonts w:hint="eastAsia" w:ascii="宋体" w:hAnsi="宋体" w:cs="宋体"/>
                <w:bCs/>
                <w:szCs w:val="21"/>
                <w:highlight w:val="none"/>
                <w:lang w:val="zh-CN"/>
              </w:rPr>
            </w:pPr>
            <w:r>
              <w:rPr>
                <w:rFonts w:hint="eastAsia" w:ascii="宋体" w:hAnsi="宋体" w:cs="宋体"/>
                <w:bCs/>
                <w:szCs w:val="21"/>
                <w:highlight w:val="none"/>
              </w:rPr>
              <w:t>1、</w:t>
            </w:r>
            <w:r>
              <w:rPr>
                <w:rFonts w:hint="eastAsia" w:ascii="宋体" w:hAnsi="宋体" w:cs="宋体"/>
                <w:bCs/>
                <w:szCs w:val="21"/>
                <w:highlight w:val="none"/>
                <w:lang w:val="zh-CN"/>
              </w:rPr>
              <w:t>不接受被政府列入取消投标资格期间的企业或个人参加投标</w:t>
            </w:r>
            <w:r>
              <w:rPr>
                <w:rFonts w:hint="eastAsia" w:ascii="宋体" w:hAnsi="宋体" w:cs="宋体"/>
                <w:spacing w:val="-6"/>
                <w:szCs w:val="21"/>
                <w:highlight w:val="none"/>
              </w:rPr>
              <w:t>，</w:t>
            </w:r>
            <w:r>
              <w:rPr>
                <w:rFonts w:hint="eastAsia" w:ascii="宋体" w:hAnsi="宋体" w:cs="宋体"/>
                <w:bCs/>
                <w:szCs w:val="21"/>
                <w:highlight w:val="none"/>
                <w:lang w:val="zh-CN"/>
              </w:rPr>
              <w:t>参加政府采购活动前3年内在经营活动中没有重大违法记录。</w:t>
            </w:r>
          </w:p>
          <w:p w14:paraId="697E52D2">
            <w:pPr>
              <w:keepNext w:val="0"/>
              <w:keepLines w:val="0"/>
              <w:suppressLineNumbers w:val="0"/>
              <w:spacing w:before="0" w:beforeAutospacing="0" w:after="0" w:afterAutospacing="0" w:line="300" w:lineRule="auto"/>
              <w:ind w:left="0" w:right="0"/>
              <w:jc w:val="left"/>
              <w:rPr>
                <w:rFonts w:hint="eastAsia" w:ascii="宋体" w:hAnsi="宋体" w:cs="宋体"/>
                <w:szCs w:val="21"/>
                <w:highlight w:val="none"/>
                <w:lang w:val="zh-CN"/>
              </w:rPr>
            </w:pPr>
            <w:r>
              <w:rPr>
                <w:rFonts w:hint="eastAsia" w:ascii="宋体" w:hAnsi="宋体" w:cs="宋体"/>
                <w:bCs/>
                <w:szCs w:val="21"/>
                <w:highlight w:val="none"/>
              </w:rPr>
              <w:t>2、</w:t>
            </w:r>
            <w:r>
              <w:rPr>
                <w:rFonts w:hint="eastAsia" w:ascii="宋体" w:hAnsi="宋体" w:cs="宋体"/>
                <w:szCs w:val="21"/>
                <w:highlight w:val="none"/>
                <w:lang w:val="zh-CN"/>
              </w:rPr>
              <w:t>投标人在“信用中国”网（www.creditchina.gov.cn） 未列入失信被执行人和重大税收违法案件当事人名单；投标人在“中国政府采购网”（www.ccgp.gov.cn） 未列入政府采购严重违法失信行为记录名单；</w:t>
            </w:r>
          </w:p>
          <w:p w14:paraId="3E21DE4C">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szCs w:val="21"/>
                <w:highlight w:val="none"/>
              </w:rPr>
            </w:pPr>
            <w:r>
              <w:rPr>
                <w:rFonts w:hint="eastAsia" w:ascii="宋体" w:hAnsi="宋体" w:cs="宋体"/>
                <w:bCs/>
                <w:szCs w:val="21"/>
                <w:highlight w:val="none"/>
                <w:lang w:val="zh-CN"/>
              </w:rPr>
              <w:t>标书内附加盖公章的承诺书。承诺书要求涵盖以上</w:t>
            </w:r>
            <w:r>
              <w:rPr>
                <w:rFonts w:hint="eastAsia" w:ascii="宋体" w:hAnsi="宋体" w:cs="宋体"/>
                <w:bCs/>
                <w:szCs w:val="21"/>
                <w:highlight w:val="none"/>
                <w:lang w:val="en-US" w:eastAsia="zh-CN"/>
              </w:rPr>
              <w:t>2</w:t>
            </w:r>
            <w:r>
              <w:rPr>
                <w:rFonts w:hint="eastAsia" w:ascii="宋体" w:hAnsi="宋体" w:cs="宋体"/>
                <w:bCs/>
                <w:szCs w:val="21"/>
                <w:highlight w:val="none"/>
                <w:lang w:val="zh-CN"/>
              </w:rPr>
              <w:t>点全部内容。不符合要求的承诺书，否决投标。</w:t>
            </w:r>
          </w:p>
        </w:tc>
      </w:tr>
      <w:tr w14:paraId="3F24B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2292" w:type="dxa"/>
            <w:tcBorders>
              <w:top w:val="single" w:color="auto" w:sz="4" w:space="0"/>
              <w:left w:val="single" w:color="auto" w:sz="4" w:space="0"/>
              <w:right w:val="single" w:color="auto" w:sz="4" w:space="0"/>
            </w:tcBorders>
            <w:noWrap w:val="0"/>
            <w:vAlign w:val="center"/>
          </w:tcPr>
          <w:p w14:paraId="23D55B10">
            <w:pPr>
              <w:keepNext w:val="0"/>
              <w:keepLines w:val="0"/>
              <w:suppressLineNumbers w:val="0"/>
              <w:spacing w:before="0" w:beforeAutospacing="0" w:after="0" w:afterAutospacing="0" w:line="30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财务、税收、社保要求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F09811">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投标人参加采购活动应当提交反映其财务状况、依法缴纳税收和社保保障资金情况的资格条件承诺函。响应文件内附资格条件承诺函，</w:t>
            </w:r>
            <w:r>
              <w:rPr>
                <w:rFonts w:hint="eastAsia" w:ascii="宋体" w:hAnsi="宋体" w:cs="宋体"/>
                <w:bCs/>
                <w:color w:val="000000"/>
                <w:szCs w:val="21"/>
                <w:highlight w:val="none"/>
              </w:rPr>
              <w:t>法定代表人</w:t>
            </w:r>
            <w:r>
              <w:rPr>
                <w:rFonts w:hint="eastAsia" w:ascii="宋体" w:hAnsi="宋体" w:cs="宋体"/>
                <w:bCs/>
                <w:color w:val="000000"/>
                <w:szCs w:val="21"/>
                <w:highlight w:val="none"/>
                <w:lang w:val="zh-CN"/>
              </w:rPr>
              <w:t>签字并加盖公章。</w:t>
            </w:r>
          </w:p>
        </w:tc>
      </w:tr>
      <w:tr w14:paraId="6FB3A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1"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7687868E">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其他要求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E9AD612">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cs="宋体"/>
                <w:bCs/>
                <w:szCs w:val="21"/>
                <w:highlight w:val="none"/>
                <w:lang w:val="zh-CN"/>
              </w:rPr>
              <w:t>标书内附加盖公章的承诺书。</w:t>
            </w:r>
          </w:p>
        </w:tc>
      </w:tr>
    </w:tbl>
    <w:p w14:paraId="75DEFE70">
      <w:pPr>
        <w:autoSpaceDE w:val="0"/>
        <w:autoSpaceDN w:val="0"/>
        <w:adjustRightInd w:val="0"/>
        <w:spacing w:line="440" w:lineRule="exact"/>
        <w:jc w:val="left"/>
        <w:rPr>
          <w:rFonts w:hint="eastAsia" w:ascii="宋体" w:hAnsi="宋体" w:cs="宋体"/>
          <w:kern w:val="0"/>
          <w:szCs w:val="21"/>
          <w:highlight w:val="none"/>
        </w:rPr>
      </w:pPr>
    </w:p>
    <w:p w14:paraId="07F2FA3D">
      <w:pPr>
        <w:jc w:val="center"/>
        <w:rPr>
          <w:rFonts w:hint="eastAsia" w:ascii="宋体" w:hAnsi="宋体" w:cs="宋体"/>
          <w:sz w:val="28"/>
          <w:szCs w:val="28"/>
          <w:highlight w:val="none"/>
        </w:rPr>
      </w:pPr>
      <w:r>
        <w:rPr>
          <w:rFonts w:hint="eastAsia" w:ascii="宋体" w:hAnsi="宋体" w:cs="宋体"/>
          <w:highlight w:val="none"/>
        </w:rPr>
        <w:br w:type="page"/>
      </w:r>
      <w:bookmarkEnd w:id="50"/>
      <w:bookmarkEnd w:id="51"/>
      <w:bookmarkEnd w:id="52"/>
      <w:bookmarkEnd w:id="53"/>
      <w:bookmarkEnd w:id="54"/>
      <w:bookmarkEnd w:id="55"/>
      <w:bookmarkEnd w:id="56"/>
      <w:bookmarkEnd w:id="57"/>
      <w:bookmarkEnd w:id="58"/>
      <w:bookmarkEnd w:id="59"/>
      <w:r>
        <w:rPr>
          <w:rFonts w:hint="eastAsia" w:ascii="宋体" w:hAnsi="宋体" w:cs="宋体"/>
          <w:highlight w:val="none"/>
        </w:rPr>
        <w:t>符合性审查</w:t>
      </w:r>
      <w:r>
        <w:rPr>
          <w:rFonts w:hint="eastAsia" w:ascii="宋体" w:hAnsi="宋体" w:cs="宋体"/>
          <w:b/>
          <w:bCs/>
          <w:szCs w:val="21"/>
          <w:highlight w:val="none"/>
        </w:rPr>
        <w:t>（二）</w:t>
      </w:r>
    </w:p>
    <w:p w14:paraId="0EA91F5D">
      <w:pPr>
        <w:rPr>
          <w:rFonts w:hint="eastAsia" w:ascii="宋体" w:hAnsi="宋体" w:cs="宋体"/>
          <w:highlight w:val="none"/>
        </w:rPr>
      </w:pPr>
    </w:p>
    <w:tbl>
      <w:tblPr>
        <w:tblStyle w:val="38"/>
        <w:tblW w:w="83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9"/>
        <w:gridCol w:w="5940"/>
      </w:tblGrid>
      <w:tr w14:paraId="52D44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tblHeader/>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F688F6D">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评审因素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649CFF2F">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评审标准</w:t>
            </w:r>
          </w:p>
        </w:tc>
      </w:tr>
      <w:tr w14:paraId="559EB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261311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投标人名称</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387E458">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与营业执照一致。</w:t>
            </w:r>
          </w:p>
        </w:tc>
      </w:tr>
      <w:tr w14:paraId="507D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484896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投标文件签字盖章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1610455">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严格按照招标文件的要求，不符合予以废标</w:t>
            </w:r>
            <w:r>
              <w:rPr>
                <w:rFonts w:hint="eastAsia" w:ascii="宋体" w:hAnsi="宋体" w:cs="宋体"/>
                <w:szCs w:val="21"/>
                <w:highlight w:val="none"/>
                <w:lang w:eastAsia="zh-CN"/>
              </w:rPr>
              <w:t>。</w:t>
            </w:r>
          </w:p>
        </w:tc>
      </w:tr>
      <w:tr w14:paraId="7DAF2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39B4AC5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投标文件格式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582B5AC7">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符合 “招标文件格式”的要求。</w:t>
            </w:r>
          </w:p>
        </w:tc>
      </w:tr>
      <w:tr w14:paraId="5C6A8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CFBADC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投标报价</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A0ABDF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只能有一个有效报价且不超过采购预算。</w:t>
            </w:r>
          </w:p>
        </w:tc>
      </w:tr>
      <w:tr w14:paraId="7F8EC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08C34979">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合同履行期限</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F49665C">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自合同签订之日起一年</w:t>
            </w:r>
            <w:r>
              <w:rPr>
                <w:rFonts w:hint="eastAsia" w:ascii="宋体" w:hAnsi="宋体" w:cs="宋体"/>
                <w:szCs w:val="21"/>
                <w:highlight w:val="none"/>
                <w:lang w:eastAsia="zh-CN"/>
              </w:rPr>
              <w:t>。</w:t>
            </w:r>
          </w:p>
        </w:tc>
      </w:tr>
      <w:tr w14:paraId="0C281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C5DA38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服务质量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D1E430F">
            <w:pPr>
              <w:keepNext w:val="0"/>
              <w:keepLines w:val="0"/>
              <w:suppressLineNumbers w:val="0"/>
              <w:spacing w:before="0" w:beforeAutospacing="0" w:after="0" w:afterAutospacing="0" w:line="300" w:lineRule="auto"/>
              <w:ind w:left="0" w:right="0"/>
              <w:jc w:val="both"/>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绿化养护一级标准</w:t>
            </w:r>
          </w:p>
        </w:tc>
      </w:tr>
      <w:tr w14:paraId="31565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A5DE420">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投标有效期</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05DBBA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90天。</w:t>
            </w:r>
          </w:p>
        </w:tc>
      </w:tr>
      <w:tr w14:paraId="35ABB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F17E5F2">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采购需求</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6722A61">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满足采购需求</w:t>
            </w:r>
            <w:r>
              <w:rPr>
                <w:rFonts w:hint="eastAsia" w:ascii="宋体" w:hAnsi="宋体" w:cs="宋体"/>
                <w:szCs w:val="21"/>
                <w:highlight w:val="none"/>
                <w:lang w:eastAsia="zh-CN"/>
              </w:rPr>
              <w:t>。</w:t>
            </w:r>
          </w:p>
        </w:tc>
      </w:tr>
      <w:tr w14:paraId="3B2C5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3CF72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联合体</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E09D69A">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不是联合体投标</w:t>
            </w:r>
          </w:p>
        </w:tc>
      </w:tr>
      <w:tr w14:paraId="03270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7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99659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其他</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99C5D3B">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是否存在拒绝修正投标报价算术错误的情形；</w:t>
            </w:r>
          </w:p>
          <w:p w14:paraId="7B96FF9C">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是否存在拒按评标委员会要求澄清、说明或纠正的情形；</w:t>
            </w:r>
          </w:p>
          <w:p w14:paraId="003CB283">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是否有串通投标、弄虚作假或行贿等违法行为；</w:t>
            </w:r>
          </w:p>
          <w:p w14:paraId="5541AE68">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是否有其他不符合法律法规和招标文件中规定予以否决的情形；</w:t>
            </w:r>
          </w:p>
          <w:p w14:paraId="0F577B6D">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法律法规及招标文件规定的其他要求。</w:t>
            </w:r>
          </w:p>
        </w:tc>
      </w:tr>
    </w:tbl>
    <w:p w14:paraId="10E97BC8">
      <w:pPr>
        <w:pStyle w:val="73"/>
        <w:rPr>
          <w:rFonts w:hint="eastAsia" w:eastAsia="宋体"/>
          <w:highlight w:val="none"/>
        </w:rPr>
      </w:pPr>
    </w:p>
    <w:p w14:paraId="26647947">
      <w:pPr>
        <w:autoSpaceDE w:val="0"/>
        <w:autoSpaceDN w:val="0"/>
        <w:adjustRightInd w:val="0"/>
        <w:spacing w:line="540" w:lineRule="exact"/>
        <w:jc w:val="left"/>
        <w:rPr>
          <w:rFonts w:hint="eastAsia" w:ascii="宋体" w:hAnsi="宋体" w:cs="宋体"/>
          <w:szCs w:val="21"/>
          <w:highlight w:val="none"/>
        </w:rPr>
      </w:pPr>
      <w:r>
        <w:rPr>
          <w:rFonts w:hint="eastAsia" w:ascii="宋体" w:hAnsi="宋体" w:cs="宋体"/>
          <w:b/>
          <w:color w:val="000000"/>
          <w:szCs w:val="21"/>
          <w:highlight w:val="none"/>
        </w:rPr>
        <w:t>以上两项审查方式方法以政采云平台电子评标系统为准</w:t>
      </w:r>
    </w:p>
    <w:p w14:paraId="23BF8A52">
      <w:pPr>
        <w:pStyle w:val="2"/>
        <w:rPr>
          <w:rFonts w:hint="eastAsia"/>
          <w:highlight w:val="none"/>
        </w:rPr>
      </w:pPr>
    </w:p>
    <w:p w14:paraId="1D0D74D2">
      <w:pPr>
        <w:autoSpaceDE w:val="0"/>
        <w:autoSpaceDN w:val="0"/>
        <w:adjustRightInd w:val="0"/>
        <w:spacing w:line="400" w:lineRule="exact"/>
        <w:rPr>
          <w:rFonts w:hint="eastAsia" w:ascii="宋体" w:hAnsi="宋体" w:cs="宋体"/>
          <w:b/>
          <w:color w:val="000000"/>
          <w:sz w:val="24"/>
          <w:highlight w:val="none"/>
        </w:rPr>
      </w:pPr>
    </w:p>
    <w:p w14:paraId="29AFCE72">
      <w:pPr>
        <w:autoSpaceDE w:val="0"/>
        <w:autoSpaceDN w:val="0"/>
        <w:adjustRightInd w:val="0"/>
        <w:spacing w:line="400" w:lineRule="exact"/>
        <w:jc w:val="center"/>
        <w:rPr>
          <w:rFonts w:hint="eastAsia" w:ascii="宋体" w:hAnsi="宋体" w:cs="宋体"/>
          <w:b/>
          <w:color w:val="000000"/>
          <w:sz w:val="24"/>
          <w:highlight w:val="none"/>
        </w:rPr>
      </w:pPr>
    </w:p>
    <w:p w14:paraId="5EEBBF94">
      <w:pPr>
        <w:autoSpaceDE w:val="0"/>
        <w:autoSpaceDN w:val="0"/>
        <w:adjustRightInd w:val="0"/>
        <w:spacing w:line="400" w:lineRule="exact"/>
        <w:jc w:val="center"/>
        <w:rPr>
          <w:rFonts w:hint="eastAsia" w:ascii="宋体" w:hAnsi="宋体" w:cs="宋体"/>
          <w:b/>
          <w:color w:val="000000"/>
          <w:sz w:val="24"/>
          <w:highlight w:val="none"/>
        </w:rPr>
      </w:pPr>
    </w:p>
    <w:p w14:paraId="5112D6C8">
      <w:pPr>
        <w:autoSpaceDE w:val="0"/>
        <w:autoSpaceDN w:val="0"/>
        <w:adjustRightInd w:val="0"/>
        <w:spacing w:line="400" w:lineRule="exact"/>
        <w:jc w:val="center"/>
        <w:rPr>
          <w:rFonts w:hint="eastAsia" w:ascii="宋体" w:hAnsi="宋体" w:cs="宋体"/>
          <w:b/>
          <w:color w:val="000000"/>
          <w:sz w:val="24"/>
          <w:highlight w:val="none"/>
        </w:rPr>
      </w:pPr>
    </w:p>
    <w:p w14:paraId="5D912329">
      <w:pPr>
        <w:autoSpaceDE w:val="0"/>
        <w:autoSpaceDN w:val="0"/>
        <w:adjustRightInd w:val="0"/>
        <w:spacing w:line="400" w:lineRule="exact"/>
        <w:jc w:val="center"/>
        <w:rPr>
          <w:rFonts w:hint="eastAsia" w:ascii="宋体" w:hAnsi="宋体" w:cs="宋体"/>
          <w:b/>
          <w:color w:val="000000"/>
          <w:sz w:val="24"/>
          <w:highlight w:val="none"/>
        </w:rPr>
      </w:pPr>
    </w:p>
    <w:p w14:paraId="5D7ADE71">
      <w:pPr>
        <w:pStyle w:val="37"/>
        <w:rPr>
          <w:rFonts w:hint="eastAsia" w:ascii="宋体" w:hAnsi="宋体" w:cs="宋体"/>
          <w:b/>
          <w:color w:val="000000"/>
          <w:sz w:val="24"/>
          <w:highlight w:val="none"/>
        </w:rPr>
      </w:pPr>
    </w:p>
    <w:p w14:paraId="2CF6F03E">
      <w:pPr>
        <w:rPr>
          <w:rFonts w:hint="eastAsia" w:ascii="宋体" w:hAnsi="宋体" w:cs="宋体"/>
          <w:b/>
          <w:color w:val="000000"/>
          <w:sz w:val="24"/>
          <w:highlight w:val="none"/>
        </w:rPr>
      </w:pPr>
    </w:p>
    <w:p w14:paraId="56D5D20F">
      <w:pPr>
        <w:pStyle w:val="37"/>
        <w:rPr>
          <w:rFonts w:hint="eastAsia" w:ascii="宋体" w:hAnsi="宋体" w:cs="宋体"/>
          <w:b/>
          <w:color w:val="000000"/>
          <w:sz w:val="24"/>
          <w:highlight w:val="none"/>
        </w:rPr>
      </w:pPr>
    </w:p>
    <w:p w14:paraId="41006C43">
      <w:pPr>
        <w:rPr>
          <w:rFonts w:hint="eastAsia" w:ascii="宋体" w:hAnsi="宋体" w:cs="宋体"/>
          <w:b/>
          <w:color w:val="000000"/>
          <w:sz w:val="24"/>
          <w:highlight w:val="none"/>
        </w:rPr>
      </w:pPr>
    </w:p>
    <w:p w14:paraId="2B2B3312">
      <w:pPr>
        <w:pStyle w:val="37"/>
        <w:rPr>
          <w:rFonts w:hint="eastAsia" w:ascii="宋体" w:hAnsi="宋体" w:cs="宋体"/>
          <w:b/>
          <w:color w:val="000000"/>
          <w:sz w:val="24"/>
          <w:highlight w:val="none"/>
        </w:rPr>
      </w:pPr>
    </w:p>
    <w:p w14:paraId="2DF7B48E">
      <w:pPr>
        <w:rPr>
          <w:rFonts w:hint="eastAsia" w:ascii="宋体" w:hAnsi="宋体" w:cs="宋体"/>
          <w:b/>
          <w:color w:val="000000"/>
          <w:sz w:val="24"/>
          <w:highlight w:val="none"/>
        </w:rPr>
      </w:pPr>
    </w:p>
    <w:p w14:paraId="6AB92ECC">
      <w:pPr>
        <w:pStyle w:val="37"/>
        <w:rPr>
          <w:rFonts w:hint="eastAsia"/>
          <w:highlight w:val="none"/>
        </w:rPr>
      </w:pPr>
    </w:p>
    <w:p w14:paraId="0CFAF94E">
      <w:pPr>
        <w:autoSpaceDE w:val="0"/>
        <w:autoSpaceDN w:val="0"/>
        <w:adjustRightInd w:val="0"/>
        <w:spacing w:line="400" w:lineRule="exact"/>
        <w:jc w:val="center"/>
        <w:rPr>
          <w:rFonts w:hint="eastAsia" w:ascii="宋体" w:hAnsi="宋体" w:cs="宋体"/>
          <w:b/>
          <w:color w:val="000000"/>
          <w:sz w:val="24"/>
          <w:highlight w:val="none"/>
        </w:rPr>
      </w:pPr>
    </w:p>
    <w:p w14:paraId="2A86CDFC">
      <w:pPr>
        <w:autoSpaceDE w:val="0"/>
        <w:autoSpaceDN w:val="0"/>
        <w:adjustRightInd w:val="0"/>
        <w:spacing w:line="400" w:lineRule="exact"/>
        <w:rPr>
          <w:rFonts w:hint="eastAsia" w:ascii="宋体" w:hAnsi="宋体" w:cs="宋体"/>
          <w:b/>
          <w:color w:val="000000"/>
          <w:sz w:val="24"/>
          <w:highlight w:val="none"/>
        </w:rPr>
      </w:pPr>
    </w:p>
    <w:p w14:paraId="2009FC0F">
      <w:pPr>
        <w:autoSpaceDE w:val="0"/>
        <w:autoSpaceDN w:val="0"/>
        <w:adjustRightInd w:val="0"/>
        <w:spacing w:line="400" w:lineRule="exact"/>
        <w:jc w:val="center"/>
        <w:rPr>
          <w:rFonts w:hint="eastAsia" w:ascii="宋体" w:hAnsi="宋体" w:cs="宋体"/>
          <w:b/>
          <w:color w:val="000000"/>
          <w:sz w:val="24"/>
          <w:highlight w:val="none"/>
        </w:rPr>
      </w:pPr>
      <w:r>
        <w:rPr>
          <w:rFonts w:hint="eastAsia" w:ascii="宋体" w:hAnsi="宋体" w:cs="宋体"/>
          <w:b/>
          <w:color w:val="000000"/>
          <w:sz w:val="24"/>
          <w:highlight w:val="none"/>
        </w:rPr>
        <w:t>评标办法前附表（二）</w:t>
      </w:r>
    </w:p>
    <w:tbl>
      <w:tblPr>
        <w:tblStyle w:val="38"/>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4580"/>
        <w:gridCol w:w="615"/>
        <w:gridCol w:w="1042"/>
      </w:tblGrid>
      <w:tr w14:paraId="4371A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851" w:type="dxa"/>
            <w:tcBorders>
              <w:top w:val="single" w:color="auto" w:sz="8" w:space="0"/>
              <w:left w:val="single" w:color="auto" w:sz="8" w:space="0"/>
              <w:bottom w:val="single" w:color="auto" w:sz="4" w:space="0"/>
              <w:right w:val="single" w:color="auto" w:sz="4" w:space="0"/>
            </w:tcBorders>
            <w:noWrap w:val="0"/>
            <w:vAlign w:val="center"/>
          </w:tcPr>
          <w:p w14:paraId="6659D90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序号</w:t>
            </w:r>
          </w:p>
        </w:tc>
        <w:tc>
          <w:tcPr>
            <w:tcW w:w="1843" w:type="dxa"/>
            <w:tcBorders>
              <w:top w:val="single" w:color="auto" w:sz="8" w:space="0"/>
              <w:left w:val="single" w:color="auto" w:sz="4" w:space="0"/>
              <w:bottom w:val="single" w:color="auto" w:sz="4" w:space="0"/>
              <w:right w:val="single" w:color="auto" w:sz="4" w:space="0"/>
            </w:tcBorders>
            <w:noWrap w:val="0"/>
            <w:vAlign w:val="center"/>
          </w:tcPr>
          <w:p w14:paraId="2D802417">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评审因素</w:t>
            </w:r>
          </w:p>
        </w:tc>
        <w:tc>
          <w:tcPr>
            <w:tcW w:w="4580" w:type="dxa"/>
            <w:tcBorders>
              <w:top w:val="single" w:color="auto" w:sz="8" w:space="0"/>
              <w:left w:val="single" w:color="auto" w:sz="4" w:space="0"/>
              <w:bottom w:val="single" w:color="auto" w:sz="4" w:space="0"/>
              <w:right w:val="single" w:color="auto" w:sz="4" w:space="0"/>
            </w:tcBorders>
            <w:noWrap w:val="0"/>
            <w:vAlign w:val="center"/>
          </w:tcPr>
          <w:p w14:paraId="694DE9C6">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评分标准</w:t>
            </w:r>
          </w:p>
        </w:tc>
        <w:tc>
          <w:tcPr>
            <w:tcW w:w="615" w:type="dxa"/>
            <w:tcBorders>
              <w:top w:val="single" w:color="auto" w:sz="8" w:space="0"/>
              <w:left w:val="single" w:color="auto" w:sz="4" w:space="0"/>
              <w:bottom w:val="single" w:color="auto" w:sz="4" w:space="0"/>
              <w:right w:val="single" w:color="auto" w:sz="4" w:space="0"/>
            </w:tcBorders>
            <w:noWrap w:val="0"/>
            <w:vAlign w:val="center"/>
          </w:tcPr>
          <w:p w14:paraId="7974743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分值</w:t>
            </w:r>
          </w:p>
        </w:tc>
        <w:tc>
          <w:tcPr>
            <w:tcW w:w="1042" w:type="dxa"/>
            <w:tcBorders>
              <w:top w:val="single" w:color="auto" w:sz="8" w:space="0"/>
              <w:left w:val="single" w:color="auto" w:sz="4" w:space="0"/>
              <w:bottom w:val="single" w:color="auto" w:sz="4" w:space="0"/>
              <w:right w:val="single" w:color="auto" w:sz="8" w:space="0"/>
            </w:tcBorders>
            <w:noWrap w:val="0"/>
            <w:vAlign w:val="center"/>
          </w:tcPr>
          <w:p w14:paraId="3A5BACB4">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主、客观项</w:t>
            </w:r>
          </w:p>
        </w:tc>
      </w:tr>
      <w:tr w14:paraId="45EA2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47FEC6BC">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 xml:space="preserve">（一）价格评分（ </w:t>
            </w:r>
            <w:r>
              <w:rPr>
                <w:rFonts w:hint="eastAsia"/>
                <w:kern w:val="2"/>
                <w:sz w:val="21"/>
                <w:szCs w:val="21"/>
                <w:highlight w:val="none"/>
                <w:lang w:val="en-US" w:eastAsia="zh-CN"/>
              </w:rPr>
              <w:t>30</w:t>
            </w:r>
            <w:r>
              <w:rPr>
                <w:rFonts w:hint="eastAsia"/>
                <w:kern w:val="2"/>
                <w:sz w:val="21"/>
                <w:szCs w:val="21"/>
                <w:highlight w:val="none"/>
                <w:lang w:val="zh-CN"/>
              </w:rPr>
              <w:t xml:space="preserve"> 分）</w:t>
            </w:r>
          </w:p>
        </w:tc>
      </w:tr>
      <w:tr w14:paraId="23E0E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22361AE">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A2AC69">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none"/>
                <w:lang w:val="zh-CN"/>
              </w:rPr>
            </w:pPr>
            <w:r>
              <w:rPr>
                <w:rFonts w:hint="eastAsia" w:ascii="宋体" w:hAnsi="宋体" w:cs="宋体"/>
                <w:kern w:val="2"/>
                <w:sz w:val="21"/>
                <w:szCs w:val="21"/>
                <w:highlight w:val="none"/>
                <w:lang w:val="zh-CN"/>
              </w:rPr>
              <w:t>价格评分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3B66C243">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所有有效报价中的最低报价作为评标基准价，有效报价最低报价=评标基准价得满分30分。其余供应商的有效评标报价得分按如下公式计算：</w:t>
            </w:r>
          </w:p>
          <w:p w14:paraId="6A82DB13">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投标报价得分=(评标基准价／投标报价) ×100 ×价格权值30%</w:t>
            </w:r>
          </w:p>
          <w:p w14:paraId="48149D0D">
            <w:pPr>
              <w:pStyle w:val="73"/>
              <w:keepNext w:val="0"/>
              <w:keepLines w:val="0"/>
              <w:suppressLineNumbers w:val="0"/>
              <w:spacing w:before="0" w:beforeAutospacing="0" w:after="0" w:afterAutospacing="0"/>
              <w:ind w:left="0" w:right="0"/>
              <w:rPr>
                <w:rFonts w:hint="default"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注：如评标委员会认为供应商的投标报价明显低于其他通过符合性审查供应商的报价，有可能影响产品质量或者不能诚信履约的，将要求供应商在评标现场合理的时间内提供书面说明，必要时提交相关证明材料；供应商不能证明其报价合理性的，评标委员会将其作为无效投标处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1EF8F40">
            <w:pPr>
              <w:pStyle w:val="73"/>
              <w:keepNext w:val="0"/>
              <w:keepLines w:val="0"/>
              <w:suppressLineNumbers w:val="0"/>
              <w:spacing w:before="0" w:beforeAutospacing="0" w:after="0" w:afterAutospacing="0"/>
              <w:ind w:left="0" w:right="0"/>
              <w:rPr>
                <w:rFonts w:hint="default"/>
                <w:kern w:val="2"/>
                <w:sz w:val="21"/>
                <w:szCs w:val="21"/>
                <w:highlight w:val="none"/>
                <w:lang w:val="en-US" w:eastAsia="zh-CN"/>
              </w:rPr>
            </w:pPr>
            <w:r>
              <w:rPr>
                <w:rFonts w:hint="eastAsia"/>
                <w:kern w:val="2"/>
                <w:sz w:val="21"/>
                <w:szCs w:val="21"/>
                <w:highlight w:val="none"/>
                <w:lang w:val="en-US" w:eastAsia="zh-CN"/>
              </w:rPr>
              <w:t>30</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2B2A3BA">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客观项</w:t>
            </w:r>
          </w:p>
        </w:tc>
      </w:tr>
      <w:tr w14:paraId="4E05F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51D9BE50">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（二）技术服务评分（</w:t>
            </w:r>
            <w:r>
              <w:rPr>
                <w:rFonts w:hint="eastAsia" w:eastAsia="宋体"/>
                <w:kern w:val="2"/>
                <w:sz w:val="21"/>
                <w:szCs w:val="21"/>
                <w:highlight w:val="none"/>
                <w:lang w:val="en-US" w:eastAsia="zh-CN"/>
              </w:rPr>
              <w:t>48</w:t>
            </w:r>
            <w:r>
              <w:rPr>
                <w:rFonts w:hint="eastAsia"/>
                <w:kern w:val="2"/>
                <w:sz w:val="21"/>
                <w:szCs w:val="21"/>
                <w:highlight w:val="none"/>
                <w:lang w:val="zh-CN"/>
              </w:rPr>
              <w:t xml:space="preserve"> 分）</w:t>
            </w:r>
          </w:p>
        </w:tc>
      </w:tr>
      <w:tr w14:paraId="605DB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5C9B70F">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9F6F92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养护方案与技术措施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2457D0B">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养护方案与技术措施等情况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4E08B840">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绿化养护总体安排合理，运用先进、合理的工艺、对绿化养护工作重点有先进和合理的建议，解决方案完整、经济、安全，得</w:t>
            </w:r>
            <w:r>
              <w:rPr>
                <w:rFonts w:hint="eastAsia"/>
                <w:kern w:val="2"/>
                <w:sz w:val="21"/>
                <w:szCs w:val="21"/>
                <w:highlight w:val="none"/>
                <w:lang w:val="en-US" w:eastAsia="zh-CN"/>
              </w:rPr>
              <w:t>7-5</w:t>
            </w:r>
            <w:r>
              <w:rPr>
                <w:rFonts w:hint="eastAsia"/>
                <w:kern w:val="2"/>
                <w:sz w:val="21"/>
                <w:szCs w:val="21"/>
                <w:highlight w:val="none"/>
                <w:lang w:val="zh-CN"/>
              </w:rPr>
              <w:t>分；</w:t>
            </w:r>
          </w:p>
          <w:p w14:paraId="71118676">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绿化养护总体安排比较合理，运用合理的养护工艺、对绿化养护工作</w:t>
            </w:r>
            <w:r>
              <w:rPr>
                <w:rFonts w:hint="eastAsia" w:eastAsia="宋体"/>
                <w:kern w:val="2"/>
                <w:sz w:val="21"/>
                <w:szCs w:val="21"/>
                <w:highlight w:val="none"/>
                <w:lang w:val="en-US" w:eastAsia="zh-CN"/>
              </w:rPr>
              <w:t>中</w:t>
            </w:r>
            <w:r>
              <w:rPr>
                <w:rFonts w:hint="eastAsia"/>
                <w:kern w:val="2"/>
                <w:sz w:val="21"/>
                <w:szCs w:val="21"/>
                <w:highlight w:val="none"/>
                <w:lang w:val="zh-CN"/>
              </w:rPr>
              <w:t>重点有建议，解决方案基本可行，得</w:t>
            </w:r>
            <w:r>
              <w:rPr>
                <w:rFonts w:hint="eastAsia"/>
                <w:kern w:val="2"/>
                <w:sz w:val="21"/>
                <w:szCs w:val="21"/>
                <w:highlight w:val="none"/>
                <w:lang w:val="en-US" w:eastAsia="zh-CN"/>
              </w:rPr>
              <w:t>4-1</w:t>
            </w:r>
            <w:r>
              <w:rPr>
                <w:rFonts w:hint="eastAsia"/>
                <w:kern w:val="2"/>
                <w:sz w:val="21"/>
                <w:szCs w:val="21"/>
                <w:highlight w:val="none"/>
                <w:lang w:val="zh-CN"/>
              </w:rPr>
              <w:t>分；</w:t>
            </w:r>
          </w:p>
          <w:p w14:paraId="71C3F6AF">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绿化养护总体安排不合理，运用不合理的养护工艺、对养护工作重点没有建议，解决方案基本不可行，得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6445823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D231D2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E19A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35457A9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889CE8E">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质量管理体系与措施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27C0C47">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质量管理体系与措施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6B590517">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各主要工序质量保障措施齐全、科学、具体、可行，对常见的绿化养护通病的防治措施得力，质量保证体系完善，得</w:t>
            </w:r>
            <w:r>
              <w:rPr>
                <w:rFonts w:hint="eastAsia"/>
                <w:kern w:val="2"/>
                <w:sz w:val="21"/>
                <w:szCs w:val="21"/>
                <w:highlight w:val="none"/>
                <w:lang w:val="en-US" w:eastAsia="zh-CN"/>
              </w:rPr>
              <w:t>7-5</w:t>
            </w:r>
            <w:r>
              <w:rPr>
                <w:rFonts w:hint="eastAsia"/>
                <w:kern w:val="2"/>
                <w:sz w:val="21"/>
                <w:szCs w:val="21"/>
                <w:highlight w:val="none"/>
                <w:lang w:val="zh-CN"/>
              </w:rPr>
              <w:t>分；</w:t>
            </w:r>
          </w:p>
          <w:p w14:paraId="40BB321B">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各主要工序质量保障措施比较齐全、合理，对常见的绿化养护通病的防治措施比较可行，具有质量保证体系，得</w:t>
            </w:r>
            <w:r>
              <w:rPr>
                <w:rFonts w:hint="eastAsia"/>
                <w:kern w:val="2"/>
                <w:sz w:val="21"/>
                <w:szCs w:val="21"/>
                <w:highlight w:val="none"/>
                <w:lang w:val="en-US" w:eastAsia="zh-CN"/>
              </w:rPr>
              <w:t>3-1</w:t>
            </w:r>
            <w:r>
              <w:rPr>
                <w:rFonts w:hint="eastAsia"/>
                <w:kern w:val="2"/>
                <w:sz w:val="21"/>
                <w:szCs w:val="21"/>
                <w:highlight w:val="none"/>
                <w:lang w:val="zh-CN"/>
              </w:rPr>
              <w:t>分；</w:t>
            </w:r>
          </w:p>
          <w:p w14:paraId="71C33CC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质量管理目标不清，各阶段养护工作、关键节点质量控制措施及风险防控措施简单、不合理、可行性差的，得0分；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BB45942">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6058DC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17C97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E2806F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D1F9E05">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安全管理体系与措施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64DCC69A">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安全管理体系与措施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720CEB18">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体系与措施合理、可行、全面、有效</w:t>
            </w:r>
            <w:r>
              <w:rPr>
                <w:rFonts w:hint="eastAsia"/>
                <w:kern w:val="2"/>
                <w:sz w:val="21"/>
                <w:szCs w:val="21"/>
                <w:highlight w:val="none"/>
              </w:rPr>
              <w:t>，</w:t>
            </w:r>
            <w:r>
              <w:rPr>
                <w:rFonts w:hint="eastAsia"/>
                <w:kern w:val="2"/>
                <w:sz w:val="21"/>
                <w:szCs w:val="21"/>
                <w:highlight w:val="none"/>
                <w:lang w:val="zh-CN"/>
              </w:rPr>
              <w:t>得</w:t>
            </w:r>
            <w:r>
              <w:rPr>
                <w:rFonts w:hint="eastAsia"/>
                <w:kern w:val="2"/>
                <w:sz w:val="21"/>
                <w:szCs w:val="21"/>
                <w:highlight w:val="none"/>
                <w:lang w:val="en-US" w:eastAsia="zh-CN"/>
              </w:rPr>
              <w:t>6-5</w:t>
            </w:r>
            <w:r>
              <w:rPr>
                <w:rFonts w:hint="eastAsia"/>
                <w:kern w:val="2"/>
                <w:sz w:val="21"/>
                <w:szCs w:val="21"/>
                <w:highlight w:val="none"/>
                <w:lang w:val="zh-CN"/>
              </w:rPr>
              <w:t>分</w:t>
            </w:r>
            <w:r>
              <w:rPr>
                <w:rFonts w:hint="eastAsia"/>
                <w:kern w:val="2"/>
                <w:sz w:val="21"/>
                <w:szCs w:val="21"/>
                <w:highlight w:val="none"/>
              </w:rPr>
              <w:t>；</w:t>
            </w:r>
          </w:p>
          <w:p w14:paraId="1227B70C">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体系与措施比较合理、可行，得</w:t>
            </w:r>
            <w:r>
              <w:rPr>
                <w:rFonts w:hint="eastAsia"/>
                <w:kern w:val="2"/>
                <w:sz w:val="21"/>
                <w:szCs w:val="21"/>
                <w:highlight w:val="none"/>
                <w:lang w:val="en-US" w:eastAsia="zh-CN"/>
              </w:rPr>
              <w:t>4-1</w:t>
            </w:r>
            <w:r>
              <w:rPr>
                <w:rFonts w:hint="eastAsia"/>
                <w:kern w:val="2"/>
                <w:sz w:val="21"/>
                <w:szCs w:val="21"/>
                <w:highlight w:val="none"/>
                <w:lang w:val="zh-CN"/>
              </w:rPr>
              <w:t>分；</w:t>
            </w:r>
          </w:p>
          <w:p w14:paraId="7CEFB78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体系与措施不合理、不可行，得</w:t>
            </w:r>
            <w:r>
              <w:rPr>
                <w:rFonts w:hint="eastAsia"/>
                <w:kern w:val="2"/>
                <w:sz w:val="21"/>
                <w:szCs w:val="21"/>
                <w:highlight w:val="none"/>
              </w:rPr>
              <w:t>0</w:t>
            </w:r>
            <w:r>
              <w:rPr>
                <w:rFonts w:hint="eastAsia"/>
                <w:kern w:val="2"/>
                <w:sz w:val="21"/>
                <w:szCs w:val="21"/>
                <w:highlight w:val="none"/>
                <w:lang w:val="zh-CN"/>
              </w:rPr>
              <w:t>分；</w:t>
            </w:r>
          </w:p>
          <w:p w14:paraId="466F212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05206B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BE54C9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0D6D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B7232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60C1E39">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环境保护管理体系与措施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71817E2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环境保护管理体系与措施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6分</w:t>
            </w:r>
            <w:r>
              <w:rPr>
                <w:rFonts w:hint="eastAsia"/>
                <w:kern w:val="2"/>
                <w:sz w:val="21"/>
                <w:szCs w:val="21"/>
                <w:highlight w:val="none"/>
              </w:rPr>
              <w:t>：</w:t>
            </w:r>
          </w:p>
          <w:p w14:paraId="539B3FD4">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体系与措施合理、可行、全面、有效，得</w:t>
            </w:r>
            <w:r>
              <w:rPr>
                <w:rFonts w:hint="eastAsia"/>
                <w:kern w:val="2"/>
                <w:sz w:val="21"/>
                <w:szCs w:val="21"/>
                <w:highlight w:val="none"/>
                <w:lang w:val="en-US" w:eastAsia="zh-CN"/>
              </w:rPr>
              <w:t>6-4</w:t>
            </w:r>
            <w:r>
              <w:rPr>
                <w:rFonts w:hint="eastAsia"/>
                <w:kern w:val="2"/>
                <w:sz w:val="21"/>
                <w:szCs w:val="21"/>
                <w:highlight w:val="none"/>
                <w:lang w:val="zh-CN"/>
              </w:rPr>
              <w:t>分；</w:t>
            </w:r>
          </w:p>
          <w:p w14:paraId="766004D9">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体系与措施比较合理、可行，得</w:t>
            </w:r>
            <w:r>
              <w:rPr>
                <w:rFonts w:hint="eastAsia"/>
                <w:kern w:val="2"/>
                <w:sz w:val="21"/>
                <w:szCs w:val="21"/>
                <w:highlight w:val="none"/>
                <w:lang w:val="en-US" w:eastAsia="zh-CN"/>
              </w:rPr>
              <w:t>4-3</w:t>
            </w:r>
            <w:r>
              <w:rPr>
                <w:rFonts w:hint="eastAsia"/>
                <w:kern w:val="2"/>
                <w:sz w:val="21"/>
                <w:szCs w:val="21"/>
                <w:highlight w:val="none"/>
                <w:lang w:val="zh-CN"/>
              </w:rPr>
              <w:t>分；</w:t>
            </w:r>
          </w:p>
          <w:p w14:paraId="48AD5AB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体系与措施不合理、不可行，得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A16F697">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37E87D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E456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C0008A">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color w:val="000000" w:themeColor="text1"/>
                <w:kern w:val="2"/>
                <w:sz w:val="21"/>
                <w:szCs w:val="21"/>
                <w:highlight w:val="none"/>
                <w14:textFill>
                  <w14:solidFill>
                    <w14:schemeClr w14:val="tx1"/>
                  </w14:solidFill>
                </w14:textFill>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F0D81EB">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lang w:val="zh-CN"/>
              </w:rPr>
              <w:t>绿化养护进度计划与措施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54F83BD6">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绿化养护进度计划与措施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10分</w:t>
            </w:r>
            <w:r>
              <w:rPr>
                <w:rFonts w:hint="eastAsia"/>
                <w:kern w:val="2"/>
                <w:sz w:val="21"/>
                <w:szCs w:val="21"/>
                <w:highlight w:val="none"/>
              </w:rPr>
              <w:t>：</w:t>
            </w:r>
          </w:p>
          <w:p w14:paraId="21964E32">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关键线路清晰、准确、完整，计划编制合理、可行，关键节点的控制措施合理，得</w:t>
            </w:r>
            <w:r>
              <w:rPr>
                <w:rFonts w:hint="eastAsia"/>
                <w:kern w:val="2"/>
                <w:sz w:val="21"/>
                <w:szCs w:val="21"/>
                <w:highlight w:val="none"/>
                <w:lang w:val="en-US" w:eastAsia="zh-CN"/>
              </w:rPr>
              <w:t>10-6</w:t>
            </w:r>
            <w:r>
              <w:rPr>
                <w:rFonts w:hint="eastAsia"/>
                <w:kern w:val="2"/>
                <w:sz w:val="21"/>
                <w:szCs w:val="21"/>
                <w:highlight w:val="none"/>
                <w:lang w:val="zh-CN"/>
              </w:rPr>
              <w:t>分；</w:t>
            </w:r>
          </w:p>
          <w:p w14:paraId="6B340787">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关键线路比较清晰、准确、完整，计划编制比较合理、可行，关键节点的控制措施比较合理，得</w:t>
            </w:r>
            <w:r>
              <w:rPr>
                <w:rFonts w:hint="eastAsia" w:eastAsia="宋体"/>
                <w:kern w:val="2"/>
                <w:sz w:val="21"/>
                <w:szCs w:val="21"/>
                <w:highlight w:val="none"/>
                <w:lang w:val="en-US" w:eastAsia="zh-CN"/>
              </w:rPr>
              <w:t>5-1</w:t>
            </w:r>
            <w:r>
              <w:rPr>
                <w:rFonts w:hint="eastAsia"/>
                <w:kern w:val="2"/>
                <w:sz w:val="21"/>
                <w:szCs w:val="21"/>
                <w:highlight w:val="none"/>
                <w:lang w:val="zh-CN"/>
              </w:rPr>
              <w:t>分；</w:t>
            </w:r>
          </w:p>
          <w:p w14:paraId="2F60D0CF">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lang w:val="zh-CN"/>
              </w:rPr>
              <w:t>关键线路不清晰、不准确、不完整，计划编制不合理、不可行，关键节点的控制措施不合理，得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2475CC6C">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lang w:val="en-US" w:eastAsia="zh-CN"/>
              </w:rPr>
              <w:t>10</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32982B5">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rPr>
              <w:t>主观项</w:t>
            </w:r>
          </w:p>
        </w:tc>
      </w:tr>
      <w:tr w14:paraId="07E9A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023B5568">
            <w:pPr>
              <w:pStyle w:val="73"/>
              <w:keepNext w:val="0"/>
              <w:keepLines w:val="0"/>
              <w:suppressLineNumbers w:val="0"/>
              <w:spacing w:before="0" w:beforeAutospacing="0" w:after="0" w:afterAutospacing="0"/>
              <w:ind w:left="0" w:leftChars="0" w:right="0" w:rightChars="0"/>
              <w:rPr>
                <w:rFonts w:hint="eastAsia" w:eastAsia="宋体"/>
                <w:kern w:val="2"/>
                <w:sz w:val="21"/>
                <w:szCs w:val="21"/>
                <w:highlight w:val="none"/>
                <w:lang w:val="en-US" w:eastAsia="zh-CN"/>
              </w:rPr>
            </w:pPr>
            <w:r>
              <w:rPr>
                <w:rFonts w:hint="eastAsia" w:eastAsia="宋体"/>
                <w:color w:val="000000" w:themeColor="text1"/>
                <w:kern w:val="2"/>
                <w:sz w:val="21"/>
                <w:szCs w:val="21"/>
                <w:highlight w:val="none"/>
                <w:lang w:val="en-US" w:eastAsia="zh-CN"/>
                <w14:textFill>
                  <w14:solidFill>
                    <w14:schemeClr w14:val="tx1"/>
                  </w14:solidFill>
                </w14:textFill>
              </w:rPr>
              <w:t>6</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17DC99B8">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zh-CN"/>
              </w:rPr>
            </w:pPr>
          </w:p>
          <w:p w14:paraId="43EDD446">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zh-CN"/>
              </w:rPr>
            </w:pPr>
          </w:p>
          <w:p w14:paraId="2C47D103">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zh-CN" w:eastAsia="zh-CN"/>
              </w:rPr>
            </w:pPr>
            <w:r>
              <w:rPr>
                <w:rFonts w:hint="eastAsia"/>
                <w:kern w:val="2"/>
                <w:sz w:val="21"/>
                <w:szCs w:val="21"/>
                <w:highlight w:val="none"/>
                <w:lang w:val="zh-CN"/>
              </w:rPr>
              <w:t>绿化养护的监督措施和机制</w:t>
            </w:r>
          </w:p>
        </w:tc>
        <w:tc>
          <w:tcPr>
            <w:tcW w:w="4580" w:type="dxa"/>
            <w:tcBorders>
              <w:top w:val="single" w:color="auto" w:sz="4" w:space="0"/>
              <w:left w:val="single" w:color="auto" w:sz="4" w:space="0"/>
              <w:bottom w:val="single" w:color="auto" w:sz="4" w:space="0"/>
              <w:right w:val="single" w:color="auto" w:sz="4" w:space="0"/>
            </w:tcBorders>
            <w:noWrap w:val="0"/>
            <w:vAlign w:val="top"/>
          </w:tcPr>
          <w:p w14:paraId="69082481">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lang w:val="zh-CN"/>
              </w:rPr>
              <w:t>设立有效的监督机制，确保绿化养护管理工作按照要求进行，并及时发现和解决问题。方案科学、合理、方案很完善、针对性强，综合实力强大的，得</w:t>
            </w:r>
            <w:r>
              <w:rPr>
                <w:rFonts w:hint="eastAsia"/>
                <w:kern w:val="2"/>
                <w:sz w:val="21"/>
                <w:szCs w:val="21"/>
                <w:highlight w:val="none"/>
                <w:lang w:val="en-US" w:eastAsia="zh-CN"/>
              </w:rPr>
              <w:t>6-5</w:t>
            </w:r>
            <w:r>
              <w:rPr>
                <w:rFonts w:hint="eastAsia"/>
                <w:kern w:val="2"/>
                <w:sz w:val="21"/>
                <w:szCs w:val="21"/>
                <w:highlight w:val="none"/>
                <w:lang w:val="zh-CN"/>
              </w:rPr>
              <w:t>分；方案比较科学、合理、方案比较完善、针对性比较强，综合实力较为强大的，得</w:t>
            </w:r>
            <w:r>
              <w:rPr>
                <w:rFonts w:hint="eastAsia"/>
                <w:kern w:val="2"/>
                <w:sz w:val="21"/>
                <w:szCs w:val="21"/>
                <w:highlight w:val="none"/>
                <w:lang w:val="en-US" w:eastAsia="zh-CN"/>
              </w:rPr>
              <w:t>4-3</w:t>
            </w:r>
            <w:r>
              <w:rPr>
                <w:rFonts w:hint="eastAsia"/>
                <w:kern w:val="2"/>
                <w:sz w:val="21"/>
                <w:szCs w:val="21"/>
                <w:highlight w:val="none"/>
                <w:lang w:val="zh-CN"/>
              </w:rPr>
              <w:t>分；方案一般的得</w:t>
            </w:r>
            <w:r>
              <w:rPr>
                <w:rFonts w:hint="eastAsia"/>
                <w:kern w:val="2"/>
                <w:sz w:val="21"/>
                <w:szCs w:val="21"/>
                <w:highlight w:val="none"/>
                <w:lang w:val="en-US" w:eastAsia="zh-CN"/>
              </w:rPr>
              <w:t>2-1</w:t>
            </w:r>
            <w:r>
              <w:rPr>
                <w:rFonts w:hint="eastAsia"/>
                <w:kern w:val="2"/>
                <w:sz w:val="21"/>
                <w:szCs w:val="21"/>
                <w:highlight w:val="none"/>
                <w:lang w:val="zh-CN"/>
              </w:rPr>
              <w:t>分；无得0分。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AF00E2">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588787C">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rPr>
              <w:t>主观项</w:t>
            </w:r>
          </w:p>
        </w:tc>
      </w:tr>
      <w:tr w14:paraId="46F3C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B8C9C74">
            <w:pPr>
              <w:pStyle w:val="73"/>
              <w:keepNext w:val="0"/>
              <w:keepLines w:val="0"/>
              <w:suppressLineNumbers w:val="0"/>
              <w:spacing w:before="0" w:beforeAutospacing="0" w:after="0" w:afterAutospacing="0"/>
              <w:ind w:left="0" w:leftChars="0" w:right="0" w:rightChars="0"/>
              <w:rPr>
                <w:rFonts w:hint="eastAsia" w:eastAsia="宋体"/>
                <w:kern w:val="2"/>
                <w:sz w:val="21"/>
                <w:szCs w:val="21"/>
                <w:highlight w:val="none"/>
                <w:lang w:val="en-US" w:eastAsia="zh-CN"/>
              </w:rPr>
            </w:pPr>
            <w:r>
              <w:rPr>
                <w:rFonts w:hint="eastAsia" w:eastAsia="宋体"/>
                <w:color w:val="000000" w:themeColor="text1"/>
                <w:kern w:val="2"/>
                <w:sz w:val="21"/>
                <w:szCs w:val="21"/>
                <w:highlight w:val="none"/>
                <w:lang w:val="en-US" w:eastAsia="zh-CN"/>
                <w14:textFill>
                  <w14:solidFill>
                    <w14:schemeClr w14:val="tx1"/>
                  </w14:solidFill>
                </w14:textFill>
              </w:rPr>
              <w:t>7</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18A8AC44">
            <w:pPr>
              <w:pStyle w:val="73"/>
              <w:keepNext w:val="0"/>
              <w:keepLines w:val="0"/>
              <w:suppressLineNumbers w:val="0"/>
              <w:spacing w:before="0" w:beforeAutospacing="0" w:after="0" w:afterAutospacing="0"/>
              <w:ind w:left="0" w:right="0"/>
              <w:rPr>
                <w:rFonts w:hint="eastAsia"/>
                <w:kern w:val="2"/>
                <w:sz w:val="21"/>
                <w:szCs w:val="21"/>
                <w:highlight w:val="none"/>
                <w:lang w:val="zh-CN"/>
              </w:rPr>
            </w:pPr>
          </w:p>
          <w:p w14:paraId="657A995C">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zh-CN" w:eastAsia="zh-CN"/>
              </w:rPr>
            </w:pPr>
            <w:r>
              <w:rPr>
                <w:rFonts w:hint="eastAsia"/>
                <w:kern w:val="2"/>
                <w:sz w:val="21"/>
                <w:szCs w:val="21"/>
                <w:highlight w:val="none"/>
                <w:lang w:val="zh-CN"/>
              </w:rPr>
              <w:t>应急管理处理预案和响应</w:t>
            </w:r>
          </w:p>
        </w:tc>
        <w:tc>
          <w:tcPr>
            <w:tcW w:w="4580" w:type="dxa"/>
            <w:tcBorders>
              <w:top w:val="single" w:color="auto" w:sz="4" w:space="0"/>
              <w:left w:val="single" w:color="auto" w:sz="4" w:space="0"/>
              <w:bottom w:val="single" w:color="auto" w:sz="4" w:space="0"/>
              <w:right w:val="single" w:color="auto" w:sz="4" w:space="0"/>
            </w:tcBorders>
            <w:noWrap w:val="0"/>
            <w:vAlign w:val="top"/>
          </w:tcPr>
          <w:p w14:paraId="6B525641">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lang w:val="zh-CN"/>
              </w:rPr>
              <w:t>针对突发事件的预防、应变和处置方案及措施进行评比，方案 科学、合理、方案很完善、针对性较强，综合实力较强大的，得</w:t>
            </w:r>
            <w:r>
              <w:rPr>
                <w:rFonts w:hint="eastAsia"/>
                <w:kern w:val="2"/>
                <w:sz w:val="21"/>
                <w:szCs w:val="21"/>
                <w:highlight w:val="none"/>
                <w:lang w:val="en-US" w:eastAsia="zh-CN"/>
              </w:rPr>
              <w:t>5</w:t>
            </w:r>
            <w:r>
              <w:rPr>
                <w:rFonts w:hint="eastAsia"/>
                <w:kern w:val="2"/>
                <w:sz w:val="21"/>
                <w:szCs w:val="21"/>
                <w:highlight w:val="none"/>
                <w:lang w:val="zh-CN"/>
              </w:rPr>
              <w:t>分；方案比较科学、合理、方案比较完善、针对性比较强，综合实力较为强大的，得</w:t>
            </w:r>
            <w:r>
              <w:rPr>
                <w:rFonts w:hint="eastAsia"/>
                <w:kern w:val="2"/>
                <w:sz w:val="21"/>
                <w:szCs w:val="21"/>
                <w:highlight w:val="none"/>
                <w:lang w:val="en-US" w:eastAsia="zh-CN"/>
              </w:rPr>
              <w:t>4-3</w:t>
            </w:r>
            <w:r>
              <w:rPr>
                <w:rFonts w:hint="eastAsia"/>
                <w:kern w:val="2"/>
                <w:sz w:val="21"/>
                <w:szCs w:val="21"/>
                <w:highlight w:val="none"/>
                <w:lang w:val="zh-CN"/>
              </w:rPr>
              <w:t>分；方案一般的得</w:t>
            </w:r>
            <w:r>
              <w:rPr>
                <w:rFonts w:hint="eastAsia"/>
                <w:kern w:val="2"/>
                <w:sz w:val="21"/>
                <w:szCs w:val="21"/>
                <w:highlight w:val="none"/>
                <w:lang w:val="en-US" w:eastAsia="zh-CN"/>
              </w:rPr>
              <w:t>2-1</w:t>
            </w:r>
            <w:r>
              <w:rPr>
                <w:rFonts w:hint="eastAsia"/>
                <w:kern w:val="2"/>
                <w:sz w:val="21"/>
                <w:szCs w:val="21"/>
                <w:highlight w:val="none"/>
                <w:lang w:val="zh-CN"/>
              </w:rPr>
              <w:t>分；无得0分。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19261FA3">
            <w:pPr>
              <w:pStyle w:val="73"/>
              <w:keepNext w:val="0"/>
              <w:keepLines w:val="0"/>
              <w:suppressLineNumbers w:val="0"/>
              <w:spacing w:before="0" w:beforeAutospacing="0" w:after="0" w:afterAutospacing="0"/>
              <w:ind w:left="0" w:leftChars="0" w:right="0" w:rightChars="0"/>
              <w:rPr>
                <w:rFonts w:hint="default"/>
                <w:kern w:val="2"/>
                <w:sz w:val="21"/>
                <w:szCs w:val="21"/>
                <w:highlight w:val="none"/>
                <w:lang w:val="en-US" w:eastAsia="zh-CN"/>
              </w:rPr>
            </w:pPr>
            <w:r>
              <w:rPr>
                <w:rFonts w:hint="eastAsia"/>
                <w:kern w:val="2"/>
                <w:sz w:val="21"/>
                <w:szCs w:val="21"/>
                <w:highlight w:val="none"/>
                <w:lang w:val="en-US" w:eastAsia="zh-CN"/>
              </w:rPr>
              <w:t>5</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45F3D07">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rPr>
              <w:t>主观项</w:t>
            </w:r>
          </w:p>
        </w:tc>
      </w:tr>
      <w:tr w14:paraId="76C16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385D95C5">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（三）商务评分（</w:t>
            </w:r>
            <w:r>
              <w:rPr>
                <w:rFonts w:hint="eastAsia"/>
                <w:kern w:val="2"/>
                <w:sz w:val="21"/>
                <w:szCs w:val="21"/>
                <w:highlight w:val="none"/>
                <w:lang w:val="en-US" w:eastAsia="zh-CN"/>
              </w:rPr>
              <w:t>22</w:t>
            </w:r>
            <w:r>
              <w:rPr>
                <w:rFonts w:hint="eastAsia"/>
                <w:kern w:val="2"/>
                <w:sz w:val="21"/>
                <w:szCs w:val="21"/>
                <w:highlight w:val="none"/>
                <w:lang w:val="zh-CN"/>
              </w:rPr>
              <w:t>分）</w:t>
            </w:r>
          </w:p>
        </w:tc>
      </w:tr>
      <w:tr w14:paraId="604F7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5ECE5F2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9358FD9">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项目经理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49461CBF">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项目经理为园林专业中级工程师，得</w:t>
            </w:r>
            <w:r>
              <w:rPr>
                <w:rFonts w:hint="eastAsia"/>
                <w:kern w:val="2"/>
                <w:sz w:val="21"/>
                <w:szCs w:val="21"/>
                <w:highlight w:val="none"/>
                <w:lang w:val="en-US" w:eastAsia="zh-CN"/>
              </w:rPr>
              <w:t>0</w:t>
            </w:r>
            <w:r>
              <w:rPr>
                <w:rFonts w:hint="eastAsia"/>
                <w:kern w:val="2"/>
                <w:sz w:val="21"/>
                <w:szCs w:val="21"/>
                <w:highlight w:val="none"/>
                <w:lang w:val="zh-CN"/>
              </w:rPr>
              <w:t>分</w:t>
            </w:r>
            <w:r>
              <w:rPr>
                <w:rFonts w:hint="eastAsia"/>
                <w:kern w:val="2"/>
                <w:sz w:val="21"/>
                <w:szCs w:val="21"/>
                <w:highlight w:val="none"/>
              </w:rPr>
              <w:t>；</w:t>
            </w:r>
          </w:p>
          <w:p w14:paraId="02FD4564">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项目经理为园林专业高级工程师，得</w:t>
            </w:r>
            <w:r>
              <w:rPr>
                <w:rFonts w:hint="eastAsia"/>
                <w:kern w:val="2"/>
                <w:sz w:val="21"/>
                <w:szCs w:val="21"/>
                <w:highlight w:val="none"/>
                <w:lang w:val="en-US" w:eastAsia="zh-CN"/>
              </w:rPr>
              <w:t>4</w:t>
            </w:r>
            <w:r>
              <w:rPr>
                <w:rFonts w:hint="eastAsia"/>
                <w:kern w:val="2"/>
                <w:sz w:val="21"/>
                <w:szCs w:val="21"/>
                <w:highlight w:val="none"/>
                <w:lang w:val="zh-CN"/>
              </w:rPr>
              <w:t>分</w:t>
            </w:r>
            <w:r>
              <w:rPr>
                <w:rFonts w:hint="eastAsia"/>
                <w:kern w:val="2"/>
                <w:sz w:val="21"/>
                <w:szCs w:val="21"/>
                <w:highlight w:val="none"/>
              </w:rPr>
              <w:t>；</w:t>
            </w:r>
            <w:r>
              <w:rPr>
                <w:rFonts w:hint="eastAsia"/>
                <w:kern w:val="2"/>
                <w:sz w:val="21"/>
                <w:szCs w:val="21"/>
                <w:highlight w:val="none"/>
                <w:lang w:val="zh-CN"/>
              </w:rPr>
              <w:t>（以采购文件中加盖供应商公章的证书扫描件为评分依据）。</w:t>
            </w:r>
          </w:p>
          <w:p w14:paraId="0FC8C433">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2.</w:t>
            </w:r>
            <w:r>
              <w:rPr>
                <w:rFonts w:hint="eastAsia"/>
                <w:kern w:val="2"/>
                <w:sz w:val="21"/>
                <w:szCs w:val="21"/>
                <w:highlight w:val="none"/>
                <w:lang w:val="zh-CN"/>
              </w:rPr>
              <w:t>项目经理在投标文件截止日前三年内，担任过类似项目经理的，每提供一项业绩得</w:t>
            </w:r>
            <w:r>
              <w:rPr>
                <w:rFonts w:hint="eastAsia"/>
                <w:kern w:val="2"/>
                <w:sz w:val="21"/>
                <w:szCs w:val="21"/>
                <w:highlight w:val="none"/>
              </w:rPr>
              <w:t>2</w:t>
            </w:r>
            <w:r>
              <w:rPr>
                <w:rFonts w:hint="eastAsia"/>
                <w:kern w:val="2"/>
                <w:sz w:val="21"/>
                <w:szCs w:val="21"/>
                <w:highlight w:val="none"/>
                <w:lang w:val="zh-CN"/>
              </w:rPr>
              <w:t>分，最高得</w:t>
            </w:r>
            <w:r>
              <w:rPr>
                <w:rFonts w:hint="eastAsia" w:eastAsia="宋体"/>
                <w:kern w:val="2"/>
                <w:sz w:val="21"/>
                <w:szCs w:val="21"/>
                <w:highlight w:val="none"/>
                <w:lang w:val="en-US" w:eastAsia="zh-CN"/>
              </w:rPr>
              <w:t>4</w:t>
            </w:r>
            <w:r>
              <w:rPr>
                <w:rFonts w:hint="eastAsia"/>
                <w:kern w:val="2"/>
                <w:sz w:val="21"/>
                <w:szCs w:val="21"/>
                <w:highlight w:val="none"/>
                <w:lang w:val="zh-CN"/>
              </w:rPr>
              <w:t>分，无业绩得0分。</w:t>
            </w:r>
          </w:p>
          <w:p w14:paraId="664D19BD">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90B4DE">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8</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3ADB53D">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7E94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6EAF39A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8EFE5BA">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技术负责人资格</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9844FC4">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技术负责人全部具有园林专业助理工程师的，得</w:t>
            </w:r>
            <w:r>
              <w:rPr>
                <w:rFonts w:hint="eastAsia"/>
                <w:kern w:val="2"/>
                <w:sz w:val="21"/>
                <w:szCs w:val="21"/>
                <w:highlight w:val="none"/>
                <w:lang w:val="en-US" w:eastAsia="zh-CN"/>
              </w:rPr>
              <w:t>0分；</w:t>
            </w:r>
            <w:r>
              <w:rPr>
                <w:rFonts w:hint="eastAsia"/>
                <w:kern w:val="2"/>
                <w:sz w:val="21"/>
                <w:szCs w:val="21"/>
                <w:highlight w:val="none"/>
                <w:lang w:val="zh-CN"/>
              </w:rPr>
              <w:t>技术负责人每具有一名园林专业中级工程师的及以上资格的，得</w:t>
            </w:r>
            <w:r>
              <w:rPr>
                <w:rFonts w:hint="eastAsia"/>
                <w:kern w:val="2"/>
                <w:sz w:val="21"/>
                <w:szCs w:val="21"/>
                <w:highlight w:val="none"/>
                <w:lang w:val="en-US" w:eastAsia="zh-CN"/>
              </w:rPr>
              <w:t>2</w:t>
            </w:r>
            <w:r>
              <w:rPr>
                <w:rFonts w:hint="eastAsia"/>
                <w:kern w:val="2"/>
                <w:sz w:val="21"/>
                <w:szCs w:val="21"/>
                <w:highlight w:val="none"/>
                <w:lang w:val="zh-CN"/>
              </w:rPr>
              <w:t>分；最高得</w:t>
            </w:r>
            <w:r>
              <w:rPr>
                <w:rFonts w:hint="eastAsia"/>
                <w:kern w:val="2"/>
                <w:sz w:val="21"/>
                <w:szCs w:val="21"/>
                <w:highlight w:val="none"/>
                <w:lang w:val="en-US" w:eastAsia="zh-CN"/>
              </w:rPr>
              <w:t>4分。</w:t>
            </w:r>
          </w:p>
          <w:p w14:paraId="2925078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（以投标文件中加盖供应商公章的证书扫描件为评分依据）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AABB81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4C9B490">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0DA68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6D497AD">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1BDEF25">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经验与业绩</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67B86EB">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投标人递交投标文件截止日前三年内承担的园林绿化养护服务业绩，每提供一项得</w:t>
            </w:r>
            <w:r>
              <w:rPr>
                <w:rFonts w:hint="eastAsia"/>
                <w:kern w:val="2"/>
                <w:sz w:val="21"/>
                <w:szCs w:val="21"/>
                <w:highlight w:val="none"/>
                <w:lang w:val="en-US" w:eastAsia="zh-CN"/>
              </w:rPr>
              <w:t>2</w:t>
            </w:r>
            <w:r>
              <w:rPr>
                <w:rFonts w:hint="eastAsia"/>
                <w:kern w:val="2"/>
                <w:sz w:val="21"/>
                <w:szCs w:val="21"/>
                <w:highlight w:val="none"/>
                <w:lang w:val="zh-CN"/>
              </w:rPr>
              <w:t>分，最高得</w:t>
            </w:r>
            <w:r>
              <w:rPr>
                <w:rFonts w:hint="eastAsia"/>
                <w:kern w:val="2"/>
                <w:sz w:val="21"/>
                <w:szCs w:val="21"/>
                <w:highlight w:val="none"/>
                <w:lang w:val="en-US" w:eastAsia="zh-CN"/>
              </w:rPr>
              <w:t>4</w:t>
            </w:r>
            <w:r>
              <w:rPr>
                <w:rFonts w:hint="eastAsia"/>
                <w:kern w:val="2"/>
                <w:sz w:val="21"/>
                <w:szCs w:val="21"/>
                <w:highlight w:val="none"/>
                <w:lang w:val="zh-CN"/>
              </w:rPr>
              <w:t>分，否则不得分。</w:t>
            </w:r>
          </w:p>
          <w:p w14:paraId="51B971B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C9860C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1BB681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BECF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3C6FAC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FFE497">
            <w:pPr>
              <w:pStyle w:val="73"/>
              <w:keepNext w:val="0"/>
              <w:keepLines w:val="0"/>
              <w:suppressLineNumbers w:val="0"/>
              <w:spacing w:before="0" w:beforeAutospacing="0" w:after="0" w:afterAutospacing="0"/>
              <w:ind w:left="0" w:right="0"/>
              <w:rPr>
                <w:rFonts w:hint="default" w:eastAsia="宋体"/>
                <w:kern w:val="2"/>
                <w:sz w:val="21"/>
                <w:szCs w:val="21"/>
                <w:highlight w:val="none"/>
                <w:lang w:val="en-US" w:eastAsia="zh-CN"/>
              </w:rPr>
            </w:pPr>
            <w:r>
              <w:rPr>
                <w:rFonts w:hint="eastAsia" w:eastAsia="宋体"/>
                <w:kern w:val="2"/>
                <w:sz w:val="21"/>
                <w:szCs w:val="21"/>
                <w:highlight w:val="none"/>
                <w:lang w:val="en-US" w:eastAsia="zh-CN"/>
              </w:rPr>
              <w:t>服务承诺</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A263DA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服务承诺基本完善、基本真实可行得</w:t>
            </w:r>
            <w:r>
              <w:rPr>
                <w:rFonts w:hint="eastAsia" w:eastAsia="宋体"/>
                <w:kern w:val="2"/>
                <w:sz w:val="21"/>
                <w:szCs w:val="21"/>
                <w:highlight w:val="none"/>
                <w:lang w:val="en-US" w:eastAsia="zh-CN"/>
              </w:rPr>
              <w:t>6</w:t>
            </w:r>
            <w:r>
              <w:rPr>
                <w:rFonts w:hint="eastAsia"/>
                <w:kern w:val="2"/>
                <w:sz w:val="21"/>
                <w:szCs w:val="21"/>
                <w:highlight w:val="none"/>
                <w:lang w:val="zh-CN"/>
              </w:rPr>
              <w:t>-</w:t>
            </w:r>
            <w:r>
              <w:rPr>
                <w:rFonts w:hint="eastAsia" w:eastAsia="宋体"/>
                <w:kern w:val="2"/>
                <w:sz w:val="21"/>
                <w:szCs w:val="21"/>
                <w:highlight w:val="none"/>
                <w:lang w:val="en-US" w:eastAsia="zh-CN"/>
              </w:rPr>
              <w:t>4</w:t>
            </w:r>
            <w:r>
              <w:rPr>
                <w:rFonts w:hint="eastAsia"/>
                <w:kern w:val="2"/>
                <w:sz w:val="21"/>
                <w:szCs w:val="21"/>
                <w:highlight w:val="none"/>
                <w:lang w:val="zh-CN"/>
              </w:rPr>
              <w:t>分；服务承诺有，但缺项得</w:t>
            </w:r>
            <w:r>
              <w:rPr>
                <w:rFonts w:hint="eastAsia" w:eastAsia="宋体"/>
                <w:kern w:val="2"/>
                <w:sz w:val="21"/>
                <w:szCs w:val="21"/>
                <w:highlight w:val="none"/>
                <w:lang w:val="en-US" w:eastAsia="zh-CN"/>
              </w:rPr>
              <w:t>3</w:t>
            </w:r>
            <w:r>
              <w:rPr>
                <w:rFonts w:hint="eastAsia"/>
                <w:kern w:val="2"/>
                <w:sz w:val="21"/>
                <w:szCs w:val="21"/>
                <w:highlight w:val="none"/>
                <w:lang w:val="zh-CN"/>
              </w:rPr>
              <w:t>-</w:t>
            </w:r>
            <w:r>
              <w:rPr>
                <w:rFonts w:hint="eastAsia" w:eastAsia="宋体"/>
                <w:kern w:val="2"/>
                <w:sz w:val="21"/>
                <w:szCs w:val="21"/>
                <w:highlight w:val="none"/>
                <w:lang w:val="en-US" w:eastAsia="zh-CN"/>
              </w:rPr>
              <w:t>1</w:t>
            </w:r>
            <w:r>
              <w:rPr>
                <w:rFonts w:hint="eastAsia"/>
                <w:kern w:val="2"/>
                <w:sz w:val="21"/>
                <w:szCs w:val="21"/>
                <w:highlight w:val="none"/>
                <w:lang w:val="zh-CN"/>
              </w:rPr>
              <w:t>分；无该服务承诺得0分。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7AF9A2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7137B04">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D080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8" w:space="0"/>
              <w:right w:val="single" w:color="auto" w:sz="8" w:space="0"/>
            </w:tcBorders>
            <w:noWrap w:val="0"/>
            <w:vAlign w:val="center"/>
          </w:tcPr>
          <w:p w14:paraId="7D355DA1">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说明：</w:t>
            </w:r>
          </w:p>
          <w:p w14:paraId="3DA010B8">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1、评分标准中有分值区间的，包含区间上限本数，不含下限本数。</w:t>
            </w:r>
          </w:p>
          <w:p w14:paraId="29CC8AB7">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2、评分因素有时间限制（如投标截止日前三年内）的，所提供的合同、证书、证明等材料的时间，以签署日期、颁发日期或出具日期为准。</w:t>
            </w:r>
          </w:p>
          <w:p w14:paraId="2F328BDD">
            <w:pPr>
              <w:pStyle w:val="73"/>
              <w:keepNext w:val="0"/>
              <w:keepLines w:val="0"/>
              <w:suppressLineNumbers w:val="0"/>
              <w:spacing w:before="0" w:beforeAutospacing="0" w:after="0" w:afterAutospacing="0"/>
              <w:ind w:left="0" w:right="0"/>
              <w:rPr>
                <w:rFonts w:hint="eastAsia"/>
                <w:kern w:val="2"/>
                <w:sz w:val="21"/>
                <w:szCs w:val="21"/>
                <w:highlight w:val="none"/>
              </w:rPr>
            </w:pPr>
          </w:p>
        </w:tc>
      </w:tr>
    </w:tbl>
    <w:p w14:paraId="40A08CDE">
      <w:pPr>
        <w:pStyle w:val="73"/>
        <w:rPr>
          <w:rFonts w:hint="eastAsia"/>
          <w:highlight w:val="none"/>
        </w:rPr>
      </w:pPr>
    </w:p>
    <w:p w14:paraId="7980D1BF">
      <w:pPr>
        <w:numPr>
          <w:ilvl w:val="0"/>
          <w:numId w:val="5"/>
        </w:numPr>
        <w:autoSpaceDE w:val="0"/>
        <w:autoSpaceDN w:val="0"/>
        <w:adjustRightInd w:val="0"/>
        <w:spacing w:line="360" w:lineRule="auto"/>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评标方法说明</w:t>
      </w:r>
    </w:p>
    <w:p w14:paraId="49FA96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1.评委会：依法组建评标委员会。评委会成员人数为5人或5人以上单数。</w:t>
      </w:r>
    </w:p>
    <w:p w14:paraId="7B2D0E31">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2.评审原则：公平、公正、科学、择优的原则。</w:t>
      </w:r>
    </w:p>
    <w:p w14:paraId="61AC80A4">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3.评标方法：综合评分法。</w:t>
      </w:r>
    </w:p>
    <w:p w14:paraId="326D2CCD">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综合评分法，是指投标文件满足招标文件全部实质性要求，且按照评审因素的量化指标评审得分最高的投标</w:t>
      </w:r>
      <w:bookmarkStart w:id="79" w:name="_GoBack"/>
      <w:bookmarkEnd w:id="79"/>
      <w:r>
        <w:rPr>
          <w:rFonts w:hint="eastAsia" w:ascii="宋体" w:hAnsi="宋体" w:cs="宋体"/>
          <w:highlight w:val="none"/>
        </w:rPr>
        <w:t>人为中标候选人的评标方法。根据投标报价、商务、技术等进行综合打分，满分100分。价格因素并不作为中标的唯一依据。</w:t>
      </w:r>
    </w:p>
    <w:p w14:paraId="2D03B903">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4.评审程序：初步评审/详细评审/推荐中标候选人</w:t>
      </w:r>
    </w:p>
    <w:p w14:paraId="50484D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4.1初步评审：资格审查由采购人或采购代理机构依据《初步评审表》规定的标准对投标文件进行审查。不具备招标文件中规定的资格要求的，投标无效。合格投标人不足3家的，不得评标。</w:t>
      </w:r>
    </w:p>
    <w:p w14:paraId="3DC5891C">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4.2详细评审：评标委员会按《评标办法前附表二》规定的量化因素和分值进行打分，并计算出综合评估得分。评分分值计算保留小数点后两位，小数点后第三位“四舍五入”。</w:t>
      </w:r>
    </w:p>
    <w:p w14:paraId="60865086">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4.3推荐中标候选人</w:t>
      </w:r>
    </w:p>
    <w:p w14:paraId="4E559FA8">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4.4.1汇总各评委得分，投标人最终得分按各位评委打分平均值计取，保留小数点后两位。评标结果按评审后得分由高到低顺序排列。得分相同的，按投标报价由低到高顺序排列。得分且投标报价相同的并列。中标候选人并列的，则按技术评分得分由高到低排序。如技术评分得分相同，按商务评分得分由高到低排列；如商务评分相同的，按节约能源、环境保护产品价格比重由大到小顺序排列；以上均相同的，由评标委员会采取随机抽取方式确定。评委会按照评标结果排列顺序确定前三名的依次为第一中标候选人、第二中标候选人和第三中标候选人。</w:t>
      </w:r>
    </w:p>
    <w:p w14:paraId="5C1E9E4F">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4.4.2评标委员会成员对需要共同认定的事项存在争议的，应当按照少数服从多数的原则作出结论。持不同意见的评标委员会成员应当在评标报告上签署不同意见及理由，否则视为同意评标报告。</w:t>
      </w:r>
    </w:p>
    <w:p w14:paraId="1DEA825E">
      <w:pPr>
        <w:autoSpaceDE w:val="0"/>
        <w:autoSpaceDN w:val="0"/>
        <w:adjustRightInd w:val="0"/>
        <w:spacing w:line="360" w:lineRule="auto"/>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政府采购政策落实：</w:t>
      </w:r>
    </w:p>
    <w:p w14:paraId="0101E387">
      <w:pPr>
        <w:autoSpaceDE w:val="0"/>
        <w:autoSpaceDN w:val="0"/>
        <w:adjustRightInd w:val="0"/>
        <w:spacing w:line="360" w:lineRule="auto"/>
        <w:ind w:firstLine="411" w:firstLineChars="196"/>
        <w:jc w:val="left"/>
        <w:rPr>
          <w:rFonts w:hint="eastAsia" w:ascii="宋体" w:hAnsi="宋体" w:cs="宋体"/>
          <w:szCs w:val="21"/>
          <w:highlight w:val="none"/>
        </w:rPr>
      </w:pPr>
      <w:r>
        <w:rPr>
          <w:rFonts w:hint="eastAsia" w:ascii="宋体" w:hAnsi="宋体" w:cs="宋体"/>
          <w:szCs w:val="21"/>
          <w:highlight w:val="none"/>
        </w:rPr>
        <w:t>备注：评标委员会在评审时，将按下列规定计算价格扣除（并按扣除后价格作为参与评审价格）：</w:t>
      </w:r>
    </w:p>
    <w:p w14:paraId="7108A11F">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4761CDC8">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17A3937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6A006A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18ECC59B">
      <w:pPr>
        <w:autoSpaceDE w:val="0"/>
        <w:autoSpaceDN w:val="0"/>
        <w:adjustRightInd w:val="0"/>
        <w:spacing w:line="360" w:lineRule="auto"/>
        <w:rPr>
          <w:rFonts w:ascii="宋体" w:hAnsi="宋体" w:cs="宋体"/>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（5）根据财库【2020】46号文件规定，对小型和微型企业的投标报价给予10%的价格扣除，并按照扣除后的价格参加评审。专门面对中小企业采购的项目不适用本项目。不给予价格扣除。</w:t>
      </w:r>
    </w:p>
    <w:p w14:paraId="0AAC1A99">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1A208C14">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55CF4AFE">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或证明材料复印件加盖投标人公章。第（5）条提供中小企业声明函（格式参照财库【2020】46号文件规定格式）原件，第（6）条应当提供由省级以上监狱管理局、戒毒管理局(含新疆生产建设兵团)出具的属于监狱企业的证明文件原件。第（7）条执行财库〔2017〕141号文件规定，第（5）条与第（6）条、第（7）条政策不能叠加扣除。</w:t>
      </w:r>
    </w:p>
    <w:p w14:paraId="51C49F74">
      <w:pPr>
        <w:spacing w:line="360" w:lineRule="auto"/>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5B2CA2D5">
      <w:pPr>
        <w:spacing w:line="360" w:lineRule="auto"/>
        <w:rPr>
          <w:rFonts w:hint="eastAsia" w:ascii="宋体" w:hAnsi="宋体" w:cs="宋体"/>
          <w:highlight w:val="none"/>
        </w:rPr>
      </w:pPr>
      <w:r>
        <w:rPr>
          <w:rFonts w:hint="eastAsia" w:ascii="宋体" w:hAnsi="宋体" w:cs="宋体"/>
          <w:highlight w:val="none"/>
        </w:rPr>
        <w:t>本项目为服务类项目，以上条款，挑选适合本项目的予以应用。</w:t>
      </w:r>
    </w:p>
    <w:p w14:paraId="4417726B">
      <w:pPr>
        <w:pStyle w:val="73"/>
        <w:rPr>
          <w:rFonts w:hint="eastAsia" w:eastAsia="宋体"/>
          <w:highlight w:val="none"/>
        </w:rPr>
      </w:pPr>
    </w:p>
    <w:p w14:paraId="395B9817">
      <w:pPr>
        <w:pStyle w:val="73"/>
        <w:rPr>
          <w:rFonts w:hint="eastAsia" w:eastAsia="宋体"/>
          <w:highlight w:val="none"/>
        </w:rPr>
      </w:pPr>
    </w:p>
    <w:p w14:paraId="2441DB1F">
      <w:pPr>
        <w:jc w:val="center"/>
        <w:rPr>
          <w:rFonts w:hint="eastAsia" w:ascii="宋体" w:hAnsi="宋体"/>
          <w:b/>
          <w:bCs/>
          <w:sz w:val="28"/>
          <w:szCs w:val="28"/>
          <w:highlight w:val="none"/>
        </w:rPr>
      </w:pPr>
      <w:bookmarkStart w:id="60" w:name="_Toc230599467"/>
    </w:p>
    <w:p w14:paraId="0A2F5C9B">
      <w:pPr>
        <w:jc w:val="center"/>
        <w:rPr>
          <w:rFonts w:hint="eastAsia" w:ascii="宋体" w:hAnsi="宋体"/>
          <w:b/>
          <w:bCs/>
          <w:sz w:val="28"/>
          <w:szCs w:val="28"/>
          <w:highlight w:val="none"/>
        </w:rPr>
      </w:pPr>
    </w:p>
    <w:p w14:paraId="79EE5A0E">
      <w:pPr>
        <w:jc w:val="center"/>
        <w:rPr>
          <w:rFonts w:hint="eastAsia" w:ascii="宋体" w:hAnsi="宋体"/>
          <w:b/>
          <w:bCs/>
          <w:sz w:val="28"/>
          <w:szCs w:val="28"/>
          <w:highlight w:val="none"/>
        </w:rPr>
      </w:pPr>
    </w:p>
    <w:p w14:paraId="5688971F">
      <w:pPr>
        <w:jc w:val="center"/>
        <w:rPr>
          <w:rFonts w:hint="eastAsia" w:ascii="宋体" w:hAnsi="宋体"/>
          <w:b/>
          <w:bCs/>
          <w:sz w:val="28"/>
          <w:szCs w:val="28"/>
          <w:highlight w:val="none"/>
        </w:rPr>
      </w:pPr>
    </w:p>
    <w:p w14:paraId="7522D02A">
      <w:pPr>
        <w:jc w:val="center"/>
        <w:rPr>
          <w:rFonts w:ascii="宋体" w:hAnsi="宋体"/>
          <w:b/>
          <w:bCs/>
          <w:sz w:val="28"/>
          <w:szCs w:val="28"/>
          <w:highlight w:val="none"/>
        </w:rPr>
      </w:pPr>
      <w:r>
        <w:rPr>
          <w:rFonts w:hint="eastAsia" w:ascii="宋体" w:hAnsi="宋体"/>
          <w:b/>
          <w:bCs/>
          <w:sz w:val="28"/>
          <w:szCs w:val="28"/>
          <w:highlight w:val="none"/>
        </w:rPr>
        <w:t>无效投标（报价）文件的认定</w:t>
      </w:r>
    </w:p>
    <w:p w14:paraId="67037FFC">
      <w:pPr>
        <w:spacing w:line="360" w:lineRule="auto"/>
        <w:rPr>
          <w:rFonts w:ascii="宋体" w:hAnsi="宋体"/>
          <w:szCs w:val="21"/>
          <w:highlight w:val="none"/>
        </w:rPr>
      </w:pPr>
    </w:p>
    <w:p w14:paraId="389FA731">
      <w:pPr>
        <w:jc w:val="center"/>
        <w:rPr>
          <w:rFonts w:ascii="宋体" w:hAnsi="宋体"/>
          <w:b/>
          <w:bCs/>
          <w:sz w:val="28"/>
          <w:szCs w:val="28"/>
          <w:highlight w:val="none"/>
        </w:rPr>
      </w:pPr>
    </w:p>
    <w:p w14:paraId="4905AF6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1、开启标书前，经确认存在下列情况之一的投标（报价）供应商将被取消投标（报价）资格并退回投标（报价）文件：</w:t>
      </w:r>
    </w:p>
    <w:p w14:paraId="6E9DABF5">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1.1  投标（报价）供应商法定代表人或其授权委托人未按时参加开标会议（已明确不需要参加的除外）； </w:t>
      </w:r>
    </w:p>
    <w:p w14:paraId="5599A8A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1.2  投标（报价）文件未能于投标（报价）截止之前递交至指定地点及指定接收人；</w:t>
      </w:r>
    </w:p>
    <w:p w14:paraId="1117E23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1.3  投标（报价）供应商未按招标文件要求提交</w:t>
      </w:r>
    </w:p>
    <w:p w14:paraId="3F685F3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1.4  投标（报价）文件未密封；</w:t>
      </w:r>
    </w:p>
    <w:p w14:paraId="71645D5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1.5法律、法规规定的其它情形；</w:t>
      </w:r>
    </w:p>
    <w:p w14:paraId="0103A31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2、开启标书后，经评标机构或招标人委托的工作人员确认有下列情况之一的为无效投标（报价）文件：</w:t>
      </w:r>
    </w:p>
    <w:p w14:paraId="407B452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2.1  投标（报价）文件未经投标（报价）供应商法定代表人（法定代表人委托代理人）签署（暗标除外）或未加盖投标（报价）供应商法人章（暗标除外）；</w:t>
      </w:r>
    </w:p>
    <w:p w14:paraId="6BEEF57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2.2  投标（报价）文件明显不符合招标文件规定的报价、工期、质量标准、技术规格、技术标准或其它实质性要求； </w:t>
      </w:r>
    </w:p>
    <w:p w14:paraId="679F596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2.3  组成联合体投标（报价）的供应商未附《联合体各方共同投标（报价）协议书》；</w:t>
      </w:r>
    </w:p>
    <w:p w14:paraId="39EDB5B9">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2.4  投标（报价）文件正本或副本数目不足，重要内容不全或关键字迹模糊不清；</w:t>
      </w:r>
    </w:p>
    <w:p w14:paraId="694AFDA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2.5不同投标（报价）供应商的投标（报价）文件内容、数据大量雷同，或有其它明显串通投标（报价）行为；</w:t>
      </w:r>
    </w:p>
    <w:p w14:paraId="0DAB825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2.6投标（报价）文件中存在采购单位不能接受的其它实质性条件或提供虚假文件；</w:t>
      </w:r>
    </w:p>
    <w:p w14:paraId="21CBBC2A">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2.7投标（报价）供应商拒绝对细微偏差做出补正；</w:t>
      </w:r>
    </w:p>
    <w:p w14:paraId="4AFEFE8D">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2.8投标（报价）文件中的其它重大偏差；</w:t>
      </w:r>
    </w:p>
    <w:p w14:paraId="7F2CA40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2.9法律、法规规定的其它情形；</w:t>
      </w:r>
    </w:p>
    <w:p w14:paraId="186749D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3、评标委员会必须严格按照以上标准认定无效投标（报价）文件，不得使用除此之外的标准作为认定无效投标（报价）文件的依据。</w:t>
      </w:r>
    </w:p>
    <w:p w14:paraId="7F94D6F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4、经确认的无效投标（报价）文件，采购代理机构将予以拒绝，并且不允许投标（报价）供应商通过修正或撤消其不符合要求的差异，使之成为具有符合性的投标（报价）文件。</w:t>
      </w:r>
    </w:p>
    <w:p w14:paraId="2729AD1F">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5、认定无效投标（报价）后，合格投标（报价）供应商少于3家的，评标委员会应当宣布招标（谈判）活动失败的，重新组织招标（竞争性谈判）。</w:t>
      </w:r>
    </w:p>
    <w:p w14:paraId="1B8E8D99">
      <w:pPr>
        <w:pStyle w:val="73"/>
        <w:rPr>
          <w:rFonts w:hint="eastAsia"/>
          <w:highlight w:val="none"/>
        </w:rPr>
      </w:pPr>
    </w:p>
    <w:p w14:paraId="7F5D3309">
      <w:pPr>
        <w:jc w:val="center"/>
        <w:rPr>
          <w:rFonts w:hint="eastAsia"/>
          <w:sz w:val="30"/>
          <w:szCs w:val="30"/>
          <w:highlight w:val="none"/>
        </w:rPr>
      </w:pPr>
    </w:p>
    <w:p w14:paraId="19146436">
      <w:pPr>
        <w:jc w:val="center"/>
        <w:rPr>
          <w:rFonts w:hint="eastAsia"/>
          <w:sz w:val="30"/>
          <w:szCs w:val="30"/>
          <w:highlight w:val="none"/>
        </w:rPr>
      </w:pPr>
    </w:p>
    <w:p w14:paraId="1657BCCA">
      <w:pPr>
        <w:jc w:val="center"/>
        <w:rPr>
          <w:rFonts w:hint="eastAsia"/>
          <w:sz w:val="30"/>
          <w:szCs w:val="30"/>
          <w:highlight w:val="none"/>
        </w:rPr>
      </w:pPr>
    </w:p>
    <w:p w14:paraId="1AFE6A2D">
      <w:pPr>
        <w:jc w:val="center"/>
        <w:rPr>
          <w:rFonts w:hint="eastAsia"/>
          <w:sz w:val="30"/>
          <w:szCs w:val="30"/>
          <w:highlight w:val="none"/>
        </w:rPr>
      </w:pPr>
    </w:p>
    <w:p w14:paraId="17D98D1C">
      <w:pPr>
        <w:jc w:val="center"/>
        <w:rPr>
          <w:rFonts w:hint="eastAsia"/>
          <w:sz w:val="30"/>
          <w:szCs w:val="30"/>
          <w:highlight w:val="none"/>
        </w:rPr>
      </w:pPr>
    </w:p>
    <w:p w14:paraId="0D6A8FF3">
      <w:pPr>
        <w:jc w:val="center"/>
        <w:rPr>
          <w:rFonts w:ascii="宋体" w:hAnsi="宋体"/>
          <w:b/>
          <w:bCs/>
          <w:sz w:val="28"/>
          <w:szCs w:val="28"/>
          <w:highlight w:val="none"/>
        </w:rPr>
      </w:pPr>
      <w:r>
        <w:rPr>
          <w:rFonts w:hint="eastAsia" w:ascii="宋体" w:hAnsi="宋体"/>
          <w:b/>
          <w:bCs/>
          <w:sz w:val="28"/>
          <w:szCs w:val="28"/>
          <w:highlight w:val="none"/>
        </w:rPr>
        <w:t>串通投标（报价）文件的认定</w:t>
      </w:r>
    </w:p>
    <w:p w14:paraId="239D06C7">
      <w:pPr>
        <w:widowControl/>
        <w:autoSpaceDE w:val="0"/>
        <w:autoSpaceDN w:val="0"/>
        <w:spacing w:line="420" w:lineRule="exact"/>
        <w:textAlignment w:val="bottom"/>
        <w:rPr>
          <w:rFonts w:ascii="宋体" w:hAnsi="宋体"/>
          <w:sz w:val="24"/>
          <w:highlight w:val="none"/>
        </w:rPr>
      </w:pPr>
    </w:p>
    <w:p w14:paraId="29721E23">
      <w:pPr>
        <w:spacing w:line="360" w:lineRule="auto"/>
        <w:rPr>
          <w:rFonts w:ascii="宋体" w:hAnsi="宋体"/>
          <w:bCs/>
          <w:szCs w:val="21"/>
          <w:highlight w:val="none"/>
        </w:rPr>
      </w:pPr>
    </w:p>
    <w:p w14:paraId="022FF45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1、不同投标人的投标文件中错、漏之处相同的。</w:t>
      </w:r>
    </w:p>
    <w:p w14:paraId="09916FBE">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2、不同投标人的投标文件相互混装的，或者相互加盖了对方公章的，或者相互出现了对方法定代表人或者授权代理人签名的，或者相互书写了对方名称的。</w:t>
      </w:r>
    </w:p>
    <w:p w14:paraId="6B5B65E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3、一家投标人的投标文件中加盖了另一家投标人公章的。</w:t>
      </w:r>
    </w:p>
    <w:p w14:paraId="1F8127D8">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4、不同投标人的投标文件中项目成员出现同一人的。</w:t>
      </w:r>
    </w:p>
    <w:p w14:paraId="6D1B54D5">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5、不同投标人的投标文件制作非正常一致的。</w:t>
      </w:r>
    </w:p>
    <w:p w14:paraId="238F2D00">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6、不同投标人的投标文件中相关内容的段落、字句、联系电话、联系人姓名等非正常一致的。</w:t>
      </w:r>
    </w:p>
    <w:p w14:paraId="14E6DC9C">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7、一家投标人的投标文件中装订了标有另一家投标人名称的文件材料，或者出现了另一家法定代表人或者授权代理人签名的。</w:t>
      </w:r>
    </w:p>
    <w:p w14:paraId="22D5052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8、不同投标人的投标文件由同一投标人或者同一个人编制的。</w:t>
      </w:r>
    </w:p>
    <w:p w14:paraId="663BF092">
      <w:pPr>
        <w:pStyle w:val="73"/>
        <w:ind w:firstLine="420" w:firstLineChars="200"/>
        <w:rPr>
          <w:rFonts w:hint="eastAsia" w:eastAsia="宋体"/>
          <w:sz w:val="21"/>
          <w:szCs w:val="21"/>
          <w:highlight w:val="none"/>
        </w:rPr>
      </w:pPr>
      <w:r>
        <w:rPr>
          <w:rFonts w:hint="eastAsia" w:eastAsia="宋体"/>
          <w:sz w:val="21"/>
          <w:szCs w:val="21"/>
          <w:highlight w:val="none"/>
          <w:lang w:val="zh-CN"/>
        </w:rPr>
        <w:t>9、投标人串通投标的其他情形。</w:t>
      </w:r>
    </w:p>
    <w:p w14:paraId="30E5BF98">
      <w:pPr>
        <w:jc w:val="center"/>
        <w:rPr>
          <w:rFonts w:hint="eastAsia"/>
          <w:sz w:val="30"/>
          <w:szCs w:val="30"/>
          <w:highlight w:val="none"/>
        </w:rPr>
      </w:pPr>
    </w:p>
    <w:p w14:paraId="3466C649">
      <w:pPr>
        <w:jc w:val="center"/>
        <w:rPr>
          <w:rFonts w:hint="eastAsia"/>
          <w:sz w:val="30"/>
          <w:szCs w:val="30"/>
          <w:highlight w:val="none"/>
        </w:rPr>
      </w:pPr>
    </w:p>
    <w:p w14:paraId="49DD4B0D">
      <w:pPr>
        <w:jc w:val="center"/>
        <w:rPr>
          <w:rFonts w:hint="eastAsia"/>
          <w:sz w:val="30"/>
          <w:szCs w:val="30"/>
          <w:highlight w:val="none"/>
        </w:rPr>
      </w:pPr>
    </w:p>
    <w:p w14:paraId="5818054E">
      <w:pPr>
        <w:jc w:val="center"/>
        <w:rPr>
          <w:rFonts w:hint="eastAsia"/>
          <w:sz w:val="30"/>
          <w:szCs w:val="30"/>
          <w:highlight w:val="none"/>
        </w:rPr>
      </w:pPr>
    </w:p>
    <w:p w14:paraId="1C34C933">
      <w:pPr>
        <w:jc w:val="center"/>
        <w:rPr>
          <w:rFonts w:hint="eastAsia"/>
          <w:sz w:val="30"/>
          <w:szCs w:val="30"/>
          <w:highlight w:val="none"/>
        </w:rPr>
      </w:pPr>
    </w:p>
    <w:p w14:paraId="3536B1AC">
      <w:pPr>
        <w:jc w:val="center"/>
        <w:rPr>
          <w:rFonts w:hint="eastAsia"/>
          <w:sz w:val="30"/>
          <w:szCs w:val="30"/>
          <w:highlight w:val="none"/>
        </w:rPr>
      </w:pPr>
    </w:p>
    <w:p w14:paraId="0932B385">
      <w:pPr>
        <w:jc w:val="center"/>
        <w:rPr>
          <w:rFonts w:hint="eastAsia"/>
          <w:sz w:val="30"/>
          <w:szCs w:val="30"/>
          <w:highlight w:val="none"/>
        </w:rPr>
      </w:pPr>
    </w:p>
    <w:p w14:paraId="60C80C53">
      <w:pPr>
        <w:jc w:val="center"/>
        <w:rPr>
          <w:rFonts w:hint="eastAsia"/>
          <w:sz w:val="30"/>
          <w:szCs w:val="30"/>
          <w:highlight w:val="none"/>
        </w:rPr>
      </w:pPr>
    </w:p>
    <w:p w14:paraId="33582AB1">
      <w:pPr>
        <w:jc w:val="center"/>
        <w:rPr>
          <w:rFonts w:hint="eastAsia"/>
          <w:sz w:val="30"/>
          <w:szCs w:val="30"/>
          <w:highlight w:val="none"/>
        </w:rPr>
      </w:pPr>
    </w:p>
    <w:p w14:paraId="65CB5447">
      <w:pPr>
        <w:jc w:val="center"/>
        <w:rPr>
          <w:rFonts w:hint="eastAsia"/>
          <w:sz w:val="30"/>
          <w:szCs w:val="30"/>
          <w:highlight w:val="none"/>
        </w:rPr>
      </w:pPr>
    </w:p>
    <w:p w14:paraId="120315AC">
      <w:pPr>
        <w:jc w:val="center"/>
        <w:rPr>
          <w:rFonts w:hint="eastAsia"/>
          <w:sz w:val="30"/>
          <w:szCs w:val="30"/>
          <w:highlight w:val="none"/>
        </w:rPr>
      </w:pPr>
    </w:p>
    <w:p w14:paraId="734CB1F7">
      <w:pPr>
        <w:jc w:val="center"/>
        <w:rPr>
          <w:rFonts w:hint="eastAsia"/>
          <w:sz w:val="30"/>
          <w:szCs w:val="30"/>
          <w:highlight w:val="none"/>
        </w:rPr>
      </w:pPr>
    </w:p>
    <w:p w14:paraId="58735B1E">
      <w:pPr>
        <w:jc w:val="center"/>
        <w:rPr>
          <w:rFonts w:hint="eastAsia"/>
          <w:sz w:val="30"/>
          <w:szCs w:val="30"/>
          <w:highlight w:val="none"/>
        </w:rPr>
      </w:pPr>
    </w:p>
    <w:p w14:paraId="545AF70D">
      <w:pPr>
        <w:jc w:val="center"/>
        <w:rPr>
          <w:rFonts w:hint="eastAsia"/>
          <w:sz w:val="30"/>
          <w:szCs w:val="30"/>
          <w:highlight w:val="none"/>
        </w:rPr>
      </w:pPr>
    </w:p>
    <w:p w14:paraId="44E04A22">
      <w:pPr>
        <w:jc w:val="center"/>
        <w:rPr>
          <w:rFonts w:hint="eastAsia"/>
          <w:sz w:val="30"/>
          <w:szCs w:val="30"/>
          <w:highlight w:val="none"/>
        </w:rPr>
      </w:pPr>
    </w:p>
    <w:p w14:paraId="0B854F46">
      <w:pPr>
        <w:jc w:val="center"/>
        <w:rPr>
          <w:rFonts w:hint="eastAsia"/>
          <w:sz w:val="30"/>
          <w:szCs w:val="30"/>
          <w:highlight w:val="none"/>
        </w:rPr>
      </w:pPr>
    </w:p>
    <w:p w14:paraId="229710C4">
      <w:pPr>
        <w:jc w:val="center"/>
        <w:rPr>
          <w:rFonts w:hint="eastAsia"/>
          <w:sz w:val="30"/>
          <w:szCs w:val="30"/>
          <w:highlight w:val="none"/>
        </w:rPr>
      </w:pPr>
    </w:p>
    <w:p w14:paraId="52EF04CB">
      <w:pPr>
        <w:jc w:val="center"/>
        <w:rPr>
          <w:rFonts w:hint="eastAsia"/>
          <w:sz w:val="30"/>
          <w:szCs w:val="30"/>
          <w:highlight w:val="none"/>
        </w:rPr>
      </w:pPr>
    </w:p>
    <w:p w14:paraId="674931AD">
      <w:pPr>
        <w:jc w:val="center"/>
        <w:rPr>
          <w:rFonts w:hint="eastAsia"/>
          <w:sz w:val="30"/>
          <w:szCs w:val="30"/>
          <w:highlight w:val="none"/>
        </w:rPr>
      </w:pPr>
    </w:p>
    <w:p w14:paraId="58CF46F4">
      <w:pPr>
        <w:jc w:val="center"/>
        <w:rPr>
          <w:rFonts w:hint="eastAsia"/>
          <w:sz w:val="30"/>
          <w:szCs w:val="30"/>
          <w:highlight w:val="none"/>
        </w:rPr>
      </w:pPr>
    </w:p>
    <w:p w14:paraId="7AEDF614">
      <w:pPr>
        <w:pStyle w:val="73"/>
        <w:rPr>
          <w:rFonts w:hint="eastAsia"/>
          <w:highlight w:val="none"/>
        </w:rPr>
      </w:pPr>
    </w:p>
    <w:p w14:paraId="3BB5A3C5">
      <w:pPr>
        <w:pStyle w:val="73"/>
        <w:rPr>
          <w:rFonts w:hint="eastAsia"/>
          <w:highlight w:val="none"/>
        </w:rPr>
      </w:pPr>
    </w:p>
    <w:p w14:paraId="10C4DDFB">
      <w:pPr>
        <w:rPr>
          <w:rFonts w:hint="eastAsia"/>
          <w:sz w:val="30"/>
          <w:szCs w:val="30"/>
          <w:highlight w:val="none"/>
        </w:rPr>
      </w:pPr>
    </w:p>
    <w:p w14:paraId="79C8234D">
      <w:pPr>
        <w:pStyle w:val="2"/>
        <w:bidi w:val="0"/>
        <w:rPr>
          <w:rFonts w:hint="eastAsia" w:ascii="宋体" w:hAnsi="宋体" w:eastAsia="宋体" w:cs="宋体"/>
          <w:b/>
          <w:bCs/>
          <w:sz w:val="44"/>
          <w:szCs w:val="16"/>
          <w:highlight w:val="none"/>
        </w:rPr>
      </w:pPr>
      <w:bookmarkStart w:id="61" w:name="_Toc22736"/>
      <w:r>
        <w:rPr>
          <w:rFonts w:hint="eastAsia" w:ascii="宋体" w:hAnsi="宋体" w:eastAsia="宋体" w:cs="宋体"/>
          <w:b/>
          <w:bCs/>
          <w:sz w:val="44"/>
          <w:szCs w:val="16"/>
          <w:highlight w:val="none"/>
        </w:rPr>
        <w:t>第四章 合同条款及格式</w:t>
      </w:r>
      <w:bookmarkEnd w:id="60"/>
      <w:bookmarkEnd w:id="61"/>
      <w:bookmarkStart w:id="62" w:name="_Toc230599474"/>
    </w:p>
    <w:p w14:paraId="5428DAE1">
      <w:pPr>
        <w:pStyle w:val="73"/>
        <w:rPr>
          <w:rFonts w:hint="eastAsia"/>
          <w:highlight w:val="none"/>
        </w:rPr>
      </w:pPr>
    </w:p>
    <w:p w14:paraId="0C42DC8E">
      <w:pPr>
        <w:pStyle w:val="3"/>
        <w:jc w:val="center"/>
        <w:rPr>
          <w:rStyle w:val="40"/>
          <w:rFonts w:hint="eastAsia" w:ascii="黑体" w:hAnsi="黑体" w:eastAsia="黑体" w:cs="黑体"/>
          <w:b/>
          <w:color w:val="000000"/>
          <w:sz w:val="48"/>
          <w:szCs w:val="48"/>
          <w:highlight w:val="none"/>
          <w:shd w:val="clear" w:color="auto" w:fill="auto"/>
          <w:lang w:val="en-US" w:eastAsia="zh-CN"/>
        </w:rPr>
      </w:pPr>
    </w:p>
    <w:p w14:paraId="53209E5C">
      <w:pPr>
        <w:pStyle w:val="3"/>
        <w:jc w:val="center"/>
        <w:rPr>
          <w:rStyle w:val="40"/>
          <w:rFonts w:hint="eastAsia" w:ascii="黑体" w:hAnsi="黑体" w:eastAsia="黑体" w:cs="黑体"/>
          <w:b/>
          <w:color w:val="000000"/>
          <w:sz w:val="48"/>
          <w:szCs w:val="48"/>
          <w:highlight w:val="none"/>
          <w:shd w:val="clear" w:color="auto" w:fill="auto"/>
          <w:lang w:val="en-US" w:eastAsia="zh-CN"/>
        </w:rPr>
      </w:pPr>
    </w:p>
    <w:bookmarkEnd w:id="62"/>
    <w:p w14:paraId="77775FF0">
      <w:pPr>
        <w:jc w:val="center"/>
        <w:rPr>
          <w:rFonts w:ascii="仿宋" w:hAnsi="仿宋" w:eastAsia="仿宋"/>
          <w:b/>
          <w:sz w:val="28"/>
          <w:szCs w:val="28"/>
        </w:rPr>
      </w:pPr>
      <w:bookmarkStart w:id="63" w:name="_Toc230599478"/>
      <w:r>
        <w:rPr>
          <w:rFonts w:hint="eastAsia" w:ascii="仿宋" w:hAnsi="仿宋" w:eastAsia="仿宋"/>
          <w:b/>
          <w:sz w:val="28"/>
          <w:szCs w:val="28"/>
        </w:rPr>
        <w:t>以实际签订为准</w:t>
      </w:r>
    </w:p>
    <w:p w14:paraId="19C421D2">
      <w:pPr>
        <w:rPr>
          <w:rFonts w:hint="eastAsia" w:eastAsia="宋体"/>
          <w:b/>
          <w:sz w:val="32"/>
          <w:szCs w:val="32"/>
          <w:highlight w:val="none"/>
        </w:rPr>
      </w:pPr>
      <w:r>
        <w:rPr>
          <w:rFonts w:hint="eastAsia" w:eastAsia="宋体"/>
          <w:b/>
          <w:sz w:val="32"/>
          <w:szCs w:val="32"/>
          <w:highlight w:val="none"/>
        </w:rPr>
        <w:br w:type="page"/>
      </w:r>
    </w:p>
    <w:p w14:paraId="46E60289">
      <w:pPr>
        <w:pStyle w:val="2"/>
        <w:bidi w:val="0"/>
        <w:rPr>
          <w:rFonts w:hint="eastAsia" w:ascii="宋体" w:hAnsi="宋体" w:eastAsia="宋体" w:cs="宋体"/>
          <w:b/>
          <w:bCs/>
          <w:sz w:val="44"/>
          <w:szCs w:val="16"/>
          <w:highlight w:val="none"/>
        </w:rPr>
      </w:pPr>
      <w:r>
        <w:rPr>
          <w:rFonts w:hint="eastAsia" w:ascii="宋体" w:hAnsi="宋体" w:eastAsia="宋体" w:cs="宋体"/>
          <w:b/>
          <w:bCs/>
          <w:sz w:val="44"/>
          <w:szCs w:val="16"/>
          <w:highlight w:val="none"/>
        </w:rPr>
        <w:t>第五章 采购需求（服务要求）</w:t>
      </w:r>
    </w:p>
    <w:p w14:paraId="35EA2013">
      <w:pPr>
        <w:pStyle w:val="3"/>
        <w:rPr>
          <w:rFonts w:hint="eastAsia"/>
        </w:rPr>
      </w:pPr>
    </w:p>
    <w:p w14:paraId="2F828F5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一、修剪。</w:t>
      </w:r>
    </w:p>
    <w:p w14:paraId="4D4E1F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1、乔木修剪</w:t>
      </w:r>
    </w:p>
    <w:p w14:paraId="401233B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
          <w:spacing w:val="-13"/>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w:t>
      </w:r>
      <w:r>
        <w:rPr>
          <w:rFonts w:hint="eastAsia" w:ascii="仿宋" w:hAnsi="仿宋" w:eastAsia="仿宋" w:cs="仿宋"/>
          <w:sz w:val="32"/>
          <w:szCs w:val="32"/>
          <w:lang w:val="en-US" w:eastAsia="zh-CN"/>
        </w:rPr>
        <w:t>月乔木进行修剪不少于2次</w:t>
      </w:r>
      <w:r>
        <w:rPr>
          <w:rFonts w:hint="eastAsia" w:eastAsia="仿宋"/>
          <w:spacing w:val="-13"/>
          <w:lang w:eastAsia="zh-CN"/>
        </w:rPr>
        <w:t>。</w:t>
      </w:r>
    </w:p>
    <w:p w14:paraId="559C88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保证乔木生长健壮，树冠无枯枝、死枝、折枝、病虫枝，保持植株叶色正常，及时清理徒长枝及萌蘖。高大乔木（6米以上）要求</w:t>
      </w:r>
      <w:r>
        <w:rPr>
          <w:rFonts w:hint="eastAsia" w:ascii="仿宋" w:hAnsi="仿宋" w:eastAsia="仿宋" w:cs="仿宋"/>
          <w:sz w:val="32"/>
          <w:szCs w:val="32"/>
          <w:lang w:val="en-US" w:eastAsia="zh-CN"/>
        </w:rPr>
        <w:t>4</w:t>
      </w:r>
      <w:r>
        <w:rPr>
          <w:rFonts w:hint="eastAsia" w:ascii="仿宋" w:hAnsi="仿宋" w:eastAsia="仿宋" w:cs="仿宋"/>
          <w:sz w:val="32"/>
          <w:szCs w:val="32"/>
        </w:rPr>
        <w:t>米以下无萌蘖；亚乔木（6米以下）要求树冠下无萌蘖。施工产生的垃圾，随产随清。通过修剪调整树形，均衡树势。因特殊观赏需要，可根据树木生长、发育的特型，对树木进行整形，将树冠修剪成设计的形状。修剪应遵循“先上后下，先内后外，去弱留强，去老留新”的原则，促使树木枝条分布均匀，疏密得当，树形丰满。</w:t>
      </w:r>
    </w:p>
    <w:p w14:paraId="54C77A4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灌木修剪</w:t>
      </w:r>
    </w:p>
    <w:p w14:paraId="79B9F83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lang w:eastAsia="zh-CN"/>
        </w:rPr>
        <w:t>灌木每月修剪1次。</w:t>
      </w:r>
    </w:p>
    <w:p w14:paraId="3807A51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要求：</w:t>
      </w:r>
      <w:r>
        <w:rPr>
          <w:rFonts w:hint="eastAsia" w:ascii="仿宋" w:hAnsi="仿宋" w:eastAsia="仿宋" w:cs="仿宋"/>
          <w:sz w:val="32"/>
          <w:szCs w:val="32"/>
          <w:lang w:eastAsia="zh-CN"/>
        </w:rPr>
        <w:t>保证植株生长健壮，主侧枝分布匀称，通风透光。确保植株无枯枝、死枝、折枝、病虫枝、下垂枝，无徒长枝及萌蘖。修剪应有利于侧芽、不定芽发育，促进短枝形成，使其枝叶繁茂，分布匀称；开花灌木的修剪，应有利于促进短枝和花</w:t>
      </w:r>
      <w:r>
        <w:rPr>
          <w:rFonts w:hint="eastAsia" w:ascii="仿宋" w:hAnsi="仿宋" w:eastAsia="仿宋" w:cs="仿宋"/>
          <w:sz w:val="32"/>
          <w:szCs w:val="32"/>
        </w:rPr>
        <w:t>芽形成；多季开花灌木要有目的地培养花枝。施工产生的垃圾，随产随清。</w:t>
      </w:r>
    </w:p>
    <w:p w14:paraId="44FF59A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绿篱</w:t>
      </w:r>
      <w:r>
        <w:rPr>
          <w:rFonts w:hint="eastAsia" w:ascii="仿宋" w:hAnsi="仿宋" w:eastAsia="仿宋" w:cs="仿宋"/>
          <w:sz w:val="32"/>
          <w:szCs w:val="32"/>
          <w:lang w:eastAsia="zh-CN"/>
        </w:rPr>
        <w:t>修剪</w:t>
      </w:r>
    </w:p>
    <w:p w14:paraId="0AE0067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：绿篱每1至2年进行一次回缩修剪，正常养护期</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w:t>
      </w:r>
      <w:r>
        <w:rPr>
          <w:rFonts w:hint="eastAsia" w:ascii="仿宋" w:hAnsi="仿宋" w:eastAsia="仿宋" w:cs="仿宋"/>
          <w:sz w:val="32"/>
          <w:szCs w:val="32"/>
          <w:lang w:val="en-US" w:eastAsia="zh-CN"/>
        </w:rPr>
        <w:t>1</w:t>
      </w:r>
      <w:r>
        <w:rPr>
          <w:rFonts w:hint="eastAsia" w:ascii="仿宋" w:hAnsi="仿宋" w:eastAsia="仿宋" w:cs="仿宋"/>
          <w:sz w:val="32"/>
          <w:szCs w:val="32"/>
        </w:rPr>
        <w:t>次。每次修剪应较上一次提高或扩宽1cm-2cm，以保证其正常生长。</w:t>
      </w:r>
    </w:p>
    <w:p w14:paraId="036BE35F">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修剪做到剪口整齐，横平竖直，弧线圆润无毛刺，修剪时去除枯死枝、折枝、病虫枝及底角萌蘖。施工产生的垃圾，随产随清。</w:t>
      </w:r>
    </w:p>
    <w:p w14:paraId="1693CA2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草坪及花卉的修剪：</w:t>
      </w:r>
    </w:p>
    <w:p w14:paraId="4F9D40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 1 次，修剪高度控制在 8-10cm。每次修剪时，剪掉叶片部分应少于叶片总量的1/3。枯萎的花蒂和黄叶及时剪除，保持花卉清洁。宿根花卉生长结束后</w:t>
      </w:r>
      <w:r>
        <w:rPr>
          <w:rFonts w:hint="eastAsia" w:ascii="仿宋" w:hAnsi="仿宋" w:eastAsia="仿宋" w:cs="仿宋"/>
          <w:sz w:val="32"/>
          <w:szCs w:val="32"/>
          <w:lang w:eastAsia="zh-CN"/>
        </w:rPr>
        <w:t>，</w:t>
      </w:r>
      <w:r>
        <w:rPr>
          <w:rFonts w:hint="eastAsia" w:ascii="仿宋" w:hAnsi="仿宋" w:eastAsia="仿宋" w:cs="仿宋"/>
          <w:sz w:val="32"/>
          <w:szCs w:val="32"/>
        </w:rPr>
        <w:t>马上剪除地上部分。</w:t>
      </w:r>
    </w:p>
    <w:p w14:paraId="32A02C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：修剪后草坪平整、切边整齐，及时浇水</w:t>
      </w:r>
      <w:r>
        <w:rPr>
          <w:rFonts w:hint="eastAsia" w:ascii="仿宋" w:hAnsi="仿宋" w:eastAsia="仿宋" w:cs="仿宋"/>
          <w:sz w:val="32"/>
          <w:szCs w:val="32"/>
          <w:lang w:eastAsia="zh-CN"/>
        </w:rPr>
        <w:t>，</w:t>
      </w:r>
      <w:r>
        <w:rPr>
          <w:rFonts w:hint="eastAsia" w:ascii="仿宋" w:hAnsi="仿宋" w:eastAsia="仿宋" w:cs="仿宋"/>
          <w:sz w:val="32"/>
          <w:szCs w:val="32"/>
        </w:rPr>
        <w:t>草坪内乔木、花灌木等根部无打破皮现象。施工产生的垃圾，随产随清。</w:t>
      </w:r>
    </w:p>
    <w:p w14:paraId="09FF037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4、造型树修剪</w:t>
      </w:r>
    </w:p>
    <w:p w14:paraId="680EF8A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：对金叶榆球、灌木球等造型植物的修剪，</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每月修剪1次，严禁将球形植物修剪成球不像球，柱不像柱，影响艺术效果。</w:t>
      </w:r>
    </w:p>
    <w:p w14:paraId="547C14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：造型植物的表面流畅，构图清晰，层次分明，均衡稳定，艺术感强。对造型植物一定要认真修剪，确保其状态始终符合规定要求。</w:t>
      </w:r>
    </w:p>
    <w:p w14:paraId="180F101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二、中耕除杂。</w:t>
      </w:r>
    </w:p>
    <w:p w14:paraId="25DEA91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乔木</w:t>
      </w:r>
    </w:p>
    <w:p w14:paraId="7FAA2EF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次，铲除乔木下的大型野草及对树木危害严重的各类藤蔓，及树木分枝点下萌枝。</w:t>
      </w:r>
    </w:p>
    <w:p w14:paraId="47F243B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植株上无钉、捆、挂、贴、涂等私牵乱挂现象。保证树穴内无覆盖物、无堆弃物，树穴内有树篦子或填充物的，要保持干净整洁。树木根部附近的土壤要保持疏松、易板结的土壤要及时松土，中耕的深度不能影响根系生长。施工产生的垃圾，随产随清。</w:t>
      </w:r>
    </w:p>
    <w:p w14:paraId="0B043F4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w:t>
      </w:r>
    </w:p>
    <w:p w14:paraId="2339E32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：每月除杂1次</w:t>
      </w:r>
      <w:r>
        <w:rPr>
          <w:rFonts w:hint="eastAsia" w:ascii="仿宋" w:hAnsi="仿宋" w:eastAsia="仿宋" w:cs="仿宋"/>
          <w:sz w:val="32"/>
          <w:szCs w:val="32"/>
          <w:lang w:eastAsia="zh-CN"/>
        </w:rPr>
        <w:t>，</w:t>
      </w:r>
      <w:r>
        <w:rPr>
          <w:rFonts w:hint="eastAsia" w:ascii="仿宋" w:hAnsi="仿宋" w:eastAsia="仿宋" w:cs="仿宋"/>
          <w:sz w:val="32"/>
          <w:szCs w:val="32"/>
        </w:rPr>
        <w:t>及时去除灌木、绿篱内杂草和杂物，除草时，应用尖锐工具将草根除净。</w:t>
      </w:r>
    </w:p>
    <w:p w14:paraId="04ADBD4B">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无钉、捆、挂、贴、涂等私牵乱挂现象。施工产生的垃圾，随产随清。</w:t>
      </w:r>
    </w:p>
    <w:p w14:paraId="2B303A0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地被、草坪及花卉</w:t>
      </w:r>
    </w:p>
    <w:p w14:paraId="7D4CA937">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次，及时去地被、草坪和花卉内的杂草</w:t>
      </w:r>
      <w:r>
        <w:rPr>
          <w:rFonts w:hint="eastAsia" w:ascii="仿宋" w:hAnsi="仿宋" w:eastAsia="仿宋" w:cs="仿宋"/>
          <w:sz w:val="32"/>
          <w:szCs w:val="32"/>
          <w:lang w:eastAsia="zh-CN"/>
        </w:rPr>
        <w:t>。</w:t>
      </w:r>
    </w:p>
    <w:p w14:paraId="6C6F1A1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除草时，应用尖锐工具将草根除净。及时去除地被和花卉内的枯花、枯叶，花卉及其它地被植物交汇处边缘清晰、整齐。绿化地内应全年保持干净整洁，不应有杂草、杂物。施工产生的垃圾，随产随清。</w:t>
      </w:r>
    </w:p>
    <w:p w14:paraId="0FDEDE0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三、枯死植物的处理。</w:t>
      </w:r>
    </w:p>
    <w:p w14:paraId="2E111E5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1、枯死苗木</w:t>
      </w:r>
    </w:p>
    <w:p w14:paraId="59201D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lang w:val="en-US" w:eastAsia="zh-CN"/>
        </w:rPr>
        <w:t>树木保存率达100%为合格，每年5月底-10月中旬缺株率应小于1%，一处地点树木保存率不得低于70%，综合保存率在90%以上。并于春秋季进行补植，补植</w:t>
      </w:r>
      <w:r>
        <w:rPr>
          <w:rFonts w:hint="eastAsia" w:ascii="仿宋" w:hAnsi="仿宋" w:eastAsia="仿宋" w:cs="仿宋"/>
          <w:sz w:val="32"/>
          <w:szCs w:val="32"/>
          <w:lang w:eastAsia="zh-CN"/>
        </w:rPr>
        <w:t>品种与原街路绿化保持一致，</w:t>
      </w:r>
      <w:r>
        <w:rPr>
          <w:rFonts w:hint="eastAsia" w:ascii="仿宋" w:hAnsi="仿宋" w:eastAsia="仿宋" w:cs="仿宋"/>
          <w:sz w:val="32"/>
          <w:szCs w:val="32"/>
          <w:lang w:val="en-US" w:eastAsia="zh-CN"/>
        </w:rPr>
        <w:t>树冠应丰满、完整，</w:t>
      </w:r>
      <w:r>
        <w:rPr>
          <w:rFonts w:hint="eastAsia" w:ascii="仿宋" w:hAnsi="仿宋" w:eastAsia="仿宋" w:cs="仿宋"/>
          <w:sz w:val="32"/>
          <w:szCs w:val="32"/>
          <w:lang w:eastAsia="zh-CN"/>
        </w:rPr>
        <w:t>树木生长健壮，枝叶茂盛。</w:t>
      </w:r>
    </w:p>
    <w:p w14:paraId="2A62E49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（2）要求：缺株、枯树、危树</w:t>
      </w:r>
      <w:r>
        <w:rPr>
          <w:rFonts w:hint="eastAsia" w:ascii="仿宋" w:hAnsi="仿宋" w:eastAsia="仿宋" w:cs="仿宋"/>
          <w:sz w:val="32"/>
          <w:szCs w:val="32"/>
        </w:rPr>
        <w:t>及时处理，连同根部及时挖出，并填平坑槽。待适合季节进行补植。因病虫害致死的树木，应按照植保技术人员意见，进行清理、消毒等处理后再进行补植。树木有破损的及时修复。树木有倾斜倒伏的，及时扶正并支撑、浇水。</w:t>
      </w:r>
    </w:p>
    <w:p w14:paraId="769492C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2、地被、草坪及花卉</w:t>
      </w:r>
    </w:p>
    <w:p w14:paraId="6100EA2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(1)标准：应季花卉栽植应在每年5月20日前完成，10月20日前清理干净，保存率不得低于70%。草坪高度在10cm以下，杂草高度在15cm以下。</w:t>
      </w:r>
    </w:p>
    <w:p w14:paraId="7B12EC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）要求：花卉生长健壮，植株整齐，花开茂盛，无缺株死株，</w:t>
      </w:r>
      <w:r>
        <w:rPr>
          <w:rFonts w:hint="eastAsia" w:ascii="仿宋" w:hAnsi="仿宋" w:eastAsia="仿宋" w:cs="仿宋"/>
          <w:sz w:val="32"/>
          <w:szCs w:val="32"/>
        </w:rPr>
        <w:t>枯死</w:t>
      </w:r>
      <w:r>
        <w:rPr>
          <w:rFonts w:hint="eastAsia" w:ascii="仿宋" w:hAnsi="仿宋" w:eastAsia="仿宋" w:cs="仿宋"/>
          <w:sz w:val="32"/>
          <w:szCs w:val="32"/>
          <w:lang w:eastAsia="zh-CN"/>
        </w:rPr>
        <w:t>、残株</w:t>
      </w:r>
      <w:r>
        <w:rPr>
          <w:rFonts w:hint="eastAsia" w:ascii="仿宋" w:hAnsi="仿宋" w:eastAsia="仿宋" w:cs="仿宋"/>
          <w:sz w:val="32"/>
          <w:szCs w:val="32"/>
        </w:rPr>
        <w:t>及时清理，及时补植。</w:t>
      </w:r>
      <w:r>
        <w:rPr>
          <w:rFonts w:hint="eastAsia" w:ascii="仿宋" w:hAnsi="仿宋" w:eastAsia="仿宋" w:cs="仿宋"/>
          <w:sz w:val="32"/>
          <w:szCs w:val="32"/>
          <w:lang w:eastAsia="zh-CN"/>
        </w:rPr>
        <w:t>草坪生长良好，色泽正常，无斑秃、枯黄现象，无病虫害。</w:t>
      </w:r>
    </w:p>
    <w:p w14:paraId="6BBD9E9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四、绿化附属设施的维护。</w:t>
      </w:r>
    </w:p>
    <w:p w14:paraId="623EBC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街路及绿地内有树木架杆、花箱、花架、围栏、树池盖板、树穴内填充物等绿化设施的，保持其干净整洁，损坏或丢失的立即维修，保证花箱、花架、围栏等设施内 部没有纸屑</w:t>
      </w:r>
      <w:r>
        <w:rPr>
          <w:rFonts w:hint="eastAsia" w:ascii="仿宋" w:hAnsi="仿宋" w:eastAsia="仿宋" w:cs="仿宋"/>
          <w:sz w:val="32"/>
          <w:szCs w:val="32"/>
          <w:lang w:eastAsia="zh-CN"/>
        </w:rPr>
        <w:t>、</w:t>
      </w:r>
      <w:r>
        <w:rPr>
          <w:rFonts w:hint="eastAsia" w:ascii="仿宋" w:hAnsi="仿宋" w:eastAsia="仿宋" w:cs="仿宋"/>
          <w:sz w:val="32"/>
          <w:szCs w:val="32"/>
        </w:rPr>
        <w:t>果皮、塑料袋及其他废弃物。</w:t>
      </w:r>
    </w:p>
    <w:p w14:paraId="01A1974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五、树木涂白。</w:t>
      </w:r>
    </w:p>
    <w:p w14:paraId="37B86F2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w:t>
      </w:r>
      <w:r>
        <w:rPr>
          <w:rFonts w:hint="eastAsia" w:ascii="仿宋" w:hAnsi="仿宋" w:eastAsia="仿宋" w:cs="仿宋"/>
          <w:sz w:val="32"/>
          <w:szCs w:val="32"/>
          <w:lang w:val="en-US" w:eastAsia="zh-CN"/>
        </w:rPr>
        <w:t>5月1日和10月1日之前所有乔木和亚乔木分别完成一次树木涂白，</w:t>
      </w:r>
      <w:r>
        <w:rPr>
          <w:rFonts w:hint="eastAsia" w:ascii="仿宋" w:hAnsi="仿宋" w:eastAsia="仿宋" w:cs="仿宋"/>
          <w:sz w:val="32"/>
          <w:szCs w:val="32"/>
        </w:rPr>
        <w:t>涂白高度为乔木1-1.2m，亚乔类0.6m。</w:t>
      </w:r>
    </w:p>
    <w:p w14:paraId="7D99EEC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在同一路段涂白高度保持一致，边缘整齐，增加美观度。涂白时，自上而下，涂刷均匀，保持地面及周边植物干净整洁，无残留涂白剂。</w:t>
      </w:r>
    </w:p>
    <w:p w14:paraId="23451D7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六、浇水。</w:t>
      </w:r>
    </w:p>
    <w:p w14:paraId="60874EA4">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7B9FE36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新植乔木</w:t>
      </w:r>
      <w:r>
        <w:rPr>
          <w:rFonts w:hint="eastAsia" w:ascii="仿宋" w:hAnsi="仿宋" w:eastAsia="仿宋" w:cs="仿宋"/>
          <w:sz w:val="32"/>
          <w:szCs w:val="32"/>
        </w:rPr>
        <w:t>连续浇透3次水（当日、3日内、7日内），之后2年内需保障充足供水</w:t>
      </w:r>
      <w:r>
        <w:rPr>
          <w:rFonts w:hint="eastAsia" w:ascii="仿宋" w:hAnsi="仿宋" w:eastAsia="仿宋" w:cs="仿宋"/>
          <w:sz w:val="32"/>
          <w:szCs w:val="32"/>
          <w:lang w:eastAsia="zh-CN"/>
        </w:rPr>
        <w:t>；</w:t>
      </w:r>
      <w:r>
        <w:rPr>
          <w:rFonts w:hint="eastAsia" w:ascii="仿宋" w:hAnsi="仿宋" w:eastAsia="仿宋" w:cs="仿宋"/>
          <w:sz w:val="32"/>
          <w:szCs w:val="32"/>
        </w:rPr>
        <w:t>成熟乔木生长期每月深层浇水1–2次，渗透深度≥40 cm；干旱期树冠喷雾辅助降温</w:t>
      </w:r>
      <w:r>
        <w:rPr>
          <w:rFonts w:hint="eastAsia" w:ascii="仿宋" w:hAnsi="仿宋" w:eastAsia="仿宋" w:cs="仿宋"/>
          <w:sz w:val="32"/>
          <w:szCs w:val="32"/>
          <w:lang w:eastAsia="zh-CN"/>
        </w:rPr>
        <w:t>；灌木</w:t>
      </w:r>
      <w:r>
        <w:rPr>
          <w:rFonts w:hint="eastAsia" w:ascii="仿宋" w:hAnsi="仿宋" w:eastAsia="仿宋" w:cs="仿宋"/>
          <w:sz w:val="32"/>
          <w:szCs w:val="32"/>
        </w:rPr>
        <w:t>夏季每3–5天浇水一次，春秋每周1次，渗透深度20–30cm。入冬前（11月初）需浇灌封冻水</w:t>
      </w:r>
      <w:r>
        <w:rPr>
          <w:rFonts w:hint="eastAsia" w:ascii="仿宋" w:hAnsi="仿宋" w:eastAsia="仿宋" w:cs="仿宋"/>
          <w:sz w:val="32"/>
          <w:szCs w:val="32"/>
          <w:lang w:eastAsia="zh-CN"/>
        </w:rPr>
        <w:t>，开春（</w:t>
      </w:r>
      <w:r>
        <w:rPr>
          <w:rFonts w:hint="eastAsia" w:ascii="仿宋" w:hAnsi="仿宋" w:eastAsia="仿宋" w:cs="仿宋"/>
          <w:sz w:val="32"/>
          <w:szCs w:val="32"/>
          <w:lang w:val="en-US" w:eastAsia="zh-CN"/>
        </w:rPr>
        <w:t>3月</w:t>
      </w:r>
      <w:r>
        <w:rPr>
          <w:rFonts w:hint="eastAsia" w:ascii="仿宋" w:hAnsi="仿宋" w:eastAsia="仿宋" w:cs="仿宋"/>
          <w:sz w:val="32"/>
          <w:szCs w:val="32"/>
          <w:lang w:eastAsia="zh-CN"/>
        </w:rPr>
        <w:t>）需浇返青水</w:t>
      </w:r>
      <w:r>
        <w:rPr>
          <w:rFonts w:hint="eastAsia" w:ascii="仿宋" w:hAnsi="仿宋" w:eastAsia="仿宋" w:cs="仿宋"/>
          <w:sz w:val="32"/>
          <w:szCs w:val="32"/>
        </w:rPr>
        <w:t xml:space="preserve">。 </w:t>
      </w:r>
    </w:p>
    <w:p w14:paraId="4264BC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不同树木不同生长季节及天气情况合理灌溉，夏季灌溉应避开中午烈日。灌溉前应先松土，打好围堰，一次浇透，相对均匀，不出现明显的局部积水现象。灌溉结束，水完全渗净后，应适当封穴或松土，防止土壤龟裂，尤其是新植树木</w:t>
      </w:r>
      <w:r>
        <w:rPr>
          <w:rFonts w:hint="eastAsia" w:ascii="仿宋" w:hAnsi="仿宋" w:eastAsia="仿宋" w:cs="仿宋"/>
          <w:sz w:val="32"/>
          <w:szCs w:val="32"/>
          <w:lang w:eastAsia="zh-CN"/>
        </w:rPr>
        <w:t>头三遍水浇完后，</w:t>
      </w:r>
      <w:r>
        <w:rPr>
          <w:rFonts w:hint="eastAsia" w:ascii="仿宋" w:hAnsi="仿宋" w:eastAsia="仿宋" w:cs="仿宋"/>
          <w:sz w:val="32"/>
          <w:szCs w:val="32"/>
          <w:lang w:val="en-US" w:eastAsia="zh-CN"/>
        </w:rPr>
        <w:t>7-10天浇水1次，雨季除外</w:t>
      </w:r>
      <w:r>
        <w:rPr>
          <w:rFonts w:hint="eastAsia" w:ascii="仿宋" w:hAnsi="仿宋" w:eastAsia="仿宋" w:cs="仿宋"/>
          <w:sz w:val="32"/>
          <w:szCs w:val="32"/>
        </w:rPr>
        <w:t>。</w:t>
      </w:r>
    </w:p>
    <w:p w14:paraId="2ED3360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街路植物应加强叶面冲洗，减少叶面的灰尘杂物，防止病虫害发生。叶面冲洗工作须避开正午高温。针叶树宜在清明后（5月）开始叶面冲洗工作，阔叶树宜在立夏后（6月）开始叶面冲洗工作。</w:t>
      </w:r>
    </w:p>
    <w:p w14:paraId="12293E2A">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地被及花卉</w:t>
      </w:r>
    </w:p>
    <w:p w14:paraId="49165F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：天气干旱、土壤干燥时，要根据不同品种适时、适量进行灌溉，</w:t>
      </w:r>
      <w:r>
        <w:rPr>
          <w:rFonts w:hint="eastAsia" w:ascii="仿宋" w:hAnsi="仿宋" w:eastAsia="仿宋" w:cs="仿宋"/>
          <w:sz w:val="32"/>
          <w:szCs w:val="32"/>
          <w:lang w:eastAsia="zh-CN"/>
        </w:rPr>
        <w:t>每</w:t>
      </w:r>
      <w:r>
        <w:rPr>
          <w:rFonts w:hint="eastAsia" w:ascii="仿宋" w:hAnsi="仿宋" w:eastAsia="仿宋" w:cs="仿宋"/>
          <w:sz w:val="32"/>
          <w:szCs w:val="32"/>
          <w:lang w:val="en-US" w:eastAsia="zh-CN"/>
        </w:rPr>
        <w:t>1-2天浇水1次，</w:t>
      </w:r>
      <w:r>
        <w:rPr>
          <w:rFonts w:hint="eastAsia" w:ascii="仿宋" w:hAnsi="仿宋" w:eastAsia="仿宋" w:cs="仿宋"/>
          <w:sz w:val="32"/>
          <w:szCs w:val="32"/>
        </w:rPr>
        <w:t>确保不出现萎蔫现象。夏季灌溉应避开中午烈日。灌溉做到一次浇透，相对均匀，不出现明显的局部积水现象。</w:t>
      </w:r>
    </w:p>
    <w:p w14:paraId="3BF56EB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3、草坪</w:t>
      </w:r>
    </w:p>
    <w:p w14:paraId="2299424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正常养护期，每次要浇透浇足，渗透深度不低于20cm。在</w:t>
      </w:r>
      <w:r>
        <w:rPr>
          <w:rFonts w:hint="eastAsia" w:ascii="仿宋" w:hAnsi="仿宋" w:eastAsia="仿宋" w:cs="仿宋"/>
          <w:sz w:val="32"/>
          <w:szCs w:val="32"/>
          <w:lang w:eastAsia="zh-CN"/>
        </w:rPr>
        <w:t>夏</w:t>
      </w:r>
      <w:r>
        <w:rPr>
          <w:rFonts w:hint="eastAsia" w:ascii="仿宋" w:hAnsi="仿宋" w:eastAsia="仿宋" w:cs="仿宋"/>
          <w:sz w:val="32"/>
          <w:szCs w:val="32"/>
        </w:rPr>
        <w:t>季，或保水力差的草地，每天宜灌 1-2 次，水量以渗透根系层为主</w:t>
      </w:r>
      <w:r>
        <w:rPr>
          <w:rFonts w:hint="eastAsia" w:ascii="仿宋" w:hAnsi="仿宋" w:eastAsia="仿宋" w:cs="仿宋"/>
          <w:sz w:val="32"/>
          <w:szCs w:val="32"/>
          <w:lang w:val="en-US" w:eastAsia="zh-CN"/>
        </w:rPr>
        <w:t>。</w:t>
      </w:r>
    </w:p>
    <w:p w14:paraId="49386DC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：根据季节、气候、草种、土壤、养护水平、受践踏的程度等情况进行合理灌溉，确保草坪无干枯现象。</w:t>
      </w:r>
    </w:p>
    <w:p w14:paraId="0229A06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七、病虫害防治。</w:t>
      </w:r>
    </w:p>
    <w:p w14:paraId="2AC1FFF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）标准：病虫害防治主要以预防为主治疗为辅，每年</w:t>
      </w:r>
      <w:r>
        <w:rPr>
          <w:rFonts w:hint="eastAsia" w:ascii="仿宋" w:hAnsi="仿宋" w:eastAsia="仿宋" w:cs="仿宋"/>
          <w:sz w:val="32"/>
          <w:szCs w:val="32"/>
          <w:lang w:val="en-US" w:eastAsia="zh-CN"/>
        </w:rPr>
        <w:t>3月份开始进行物理预防，每年5月-9月期间每月都要进行病虫害防治1次</w:t>
      </w:r>
      <w:r>
        <w:rPr>
          <w:rFonts w:hint="eastAsia" w:ascii="仿宋" w:hAnsi="仿宋" w:eastAsia="仿宋" w:cs="仿宋"/>
          <w:sz w:val="32"/>
          <w:szCs w:val="32"/>
        </w:rPr>
        <w:t>，</w:t>
      </w:r>
      <w:r>
        <w:rPr>
          <w:rFonts w:hint="eastAsia" w:ascii="仿宋" w:hAnsi="仿宋" w:eastAsia="仿宋" w:cs="仿宋"/>
          <w:sz w:val="32"/>
          <w:szCs w:val="32"/>
          <w:lang w:eastAsia="zh-CN"/>
        </w:rPr>
        <w:t>以减少病虫害的发生。</w:t>
      </w:r>
    </w:p>
    <w:p w14:paraId="0FF7320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严格遵照防治时限和防治规程操作，应全年避免植物病虫害的发生和传播，确保病虫害发生率控制在5%以下。要积极主动进行巡线检查病虫害发生情况</w:t>
      </w:r>
      <w:r>
        <w:rPr>
          <w:rFonts w:hint="eastAsia" w:ascii="仿宋" w:hAnsi="仿宋" w:eastAsia="仿宋" w:cs="仿宋"/>
          <w:sz w:val="32"/>
          <w:szCs w:val="32"/>
          <w:lang w:eastAsia="zh-CN"/>
        </w:rPr>
        <w:t>，</w:t>
      </w:r>
      <w:r>
        <w:rPr>
          <w:rFonts w:hint="eastAsia" w:ascii="仿宋" w:hAnsi="仿宋" w:eastAsia="仿宋" w:cs="仿宋"/>
          <w:sz w:val="32"/>
          <w:szCs w:val="32"/>
        </w:rPr>
        <w:t>及时上报、防治。</w:t>
      </w:r>
    </w:p>
    <w:p w14:paraId="35023D7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八、施肥。</w:t>
      </w:r>
    </w:p>
    <w:p w14:paraId="2D3070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根据树木品种、规格、生长期和土壤缺肥状况合理定量施肥。施肥应以有机肥料为主，无机肥料为辅。</w:t>
      </w:r>
    </w:p>
    <w:p w14:paraId="5BA5AF1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1F5793F7">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：乔灌木种植三年内，每年的春、夏各施追肥一次。</w:t>
      </w:r>
    </w:p>
    <w:p w14:paraId="44C748FA">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肥料宜穴施或沟施，肥穴的规格一般为0.3m×0.3m×O.4m，挖沟的规格为0.3m×0.4m。挖穴或开沟的位置一般位于树冠外缘的投影线上(行道树除外)，穴施时一般每株树应挖对称的两穴或四穴，或根据树木规格酌情增加肥穴数量和药量。施肥后原土填回、踏实、浇透水，切忌肥料裸露。施肥应避免在雨天进行。除根外追肥外，肥料不得触及叶片。施肥应以有机肥料为主，无机肥料为辅。</w:t>
      </w:r>
    </w:p>
    <w:p w14:paraId="1C66503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w:t>
      </w:r>
    </w:p>
    <w:p w14:paraId="17F50F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：施肥应遵循适时、适量、对症原则，避免肥害。施肥后及时灌透水。施肥应避免在雨天进行。除根外追肥外，肥料不得触及叶片。施肥应以有机肥料为主，无机肥料为辅。</w:t>
      </w:r>
    </w:p>
    <w:p w14:paraId="46F96F6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3、花卉</w:t>
      </w:r>
    </w:p>
    <w:p w14:paraId="29A5D99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：早春发芽前期应采取薄肥勤施的方法进行施肥。应在花前和花后各施一次追肥，肥料以腐熟的有机肥为主。</w:t>
      </w:r>
    </w:p>
    <w:p w14:paraId="562A74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4、草坪</w:t>
      </w:r>
    </w:p>
    <w:p w14:paraId="646D2B3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：生长季节可根据具体情况施用追肥,施用方法和用量要科学，防止过量或不均匀引起肥害。追肥的时间和数量应根据土壤肥力、品种和草坪生长情况而定，以勤施薄施为原则，可采用撒施和根外追肥。</w:t>
      </w:r>
    </w:p>
    <w:p w14:paraId="1C99209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九、垃圾清理。</w:t>
      </w:r>
    </w:p>
    <w:p w14:paraId="23E3994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街路、绿地产生的绿化作业垃圾及时清运。</w:t>
      </w:r>
    </w:p>
    <w:p w14:paraId="27FFCCF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十、排水。</w:t>
      </w:r>
    </w:p>
    <w:p w14:paraId="1A66D2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绿地应有排水</w:t>
      </w:r>
      <w:r>
        <w:rPr>
          <w:rFonts w:hint="eastAsia" w:ascii="仿宋" w:hAnsi="仿宋" w:eastAsia="仿宋" w:cs="仿宋"/>
          <w:sz w:val="32"/>
          <w:szCs w:val="32"/>
          <w:lang w:eastAsia="zh-CN"/>
        </w:rPr>
        <w:t>应急措施</w:t>
      </w:r>
      <w:r>
        <w:rPr>
          <w:rFonts w:hint="eastAsia" w:ascii="仿宋" w:hAnsi="仿宋" w:eastAsia="仿宋" w:cs="仿宋"/>
          <w:sz w:val="32"/>
          <w:szCs w:val="32"/>
        </w:rPr>
        <w:t>，暴雨后应</w:t>
      </w:r>
      <w:r>
        <w:rPr>
          <w:rFonts w:hint="eastAsia" w:ascii="仿宋" w:hAnsi="仿宋" w:eastAsia="仿宋" w:cs="仿宋"/>
          <w:sz w:val="32"/>
          <w:szCs w:val="32"/>
          <w:lang w:eastAsia="zh-CN"/>
        </w:rPr>
        <w:t>及时</w:t>
      </w:r>
      <w:r>
        <w:rPr>
          <w:rFonts w:hint="eastAsia" w:ascii="仿宋" w:hAnsi="仿宋" w:eastAsia="仿宋" w:cs="仿宋"/>
          <w:sz w:val="32"/>
          <w:szCs w:val="32"/>
        </w:rPr>
        <w:t>排除树木周围的积水，凡低洼常年积水处，要填平或做前沟排水，防止积涝。</w:t>
      </w:r>
    </w:p>
    <w:p w14:paraId="14A433B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十一、防寒。</w:t>
      </w:r>
    </w:p>
    <w:p w14:paraId="5F6C75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针对不耐寒树种，冬季需采取防寒措施，以保安全越冬。</w:t>
      </w:r>
    </w:p>
    <w:p w14:paraId="27B49F41">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十二、街路巡视。</w:t>
      </w:r>
    </w:p>
    <w:p w14:paraId="04C5F0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每天巡视所辖街路，巡路时配备油锯、高枝剪等常用工具，及时处理倒树、挂枝等险情；加强树木的看管保护，遇人为破坏及时制止，同时做好防火工作。</w:t>
      </w:r>
    </w:p>
    <w:p w14:paraId="71E4CB9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十三、应急处理。</w:t>
      </w:r>
    </w:p>
    <w:p w14:paraId="4E07CF0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公共绿地范围内，如因大风、暴雨等恶劣天气产生折枝、倒伏等应急险情时，绿化单位应实时响应，提前配备应急队伍、车辆等，确保应急险情能够及时处理，保护人身安全，避免受到财产损失。</w:t>
      </w:r>
    </w:p>
    <w:p w14:paraId="0DB6313D">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十四、保险工作。</w:t>
      </w:r>
    </w:p>
    <w:p w14:paraId="5D8C915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公共绿地范围内发生树木损坏车辆及人员伤亡时，首先要进行现场取证，上报园林局及保险公司进行现场勘测确定责任，配合保险公司及当事人履行所涉及的保险手续等事宜。</w:t>
      </w:r>
    </w:p>
    <w:p w14:paraId="42E5901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十五、配合电力部门修剪</w:t>
      </w:r>
    </w:p>
    <w:p w14:paraId="FF3A16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汽开区公共绿地范围内去发生高大乔木树枝与高压线相连或者间距小于2米，电力相关部门要先向园林局申请，各养护单位接到通知后应配合电力部门对该树木进行修剪，修剪幅度不能影响树木的整体树形及美观，修剪下的树枝要及时清运，避免影响行人及街路美观。</w:t>
      </w:r>
    </w:p>
    <w:p w14:paraId="2AB8D54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60DC74DA">
      <w:pPr>
        <w:rPr>
          <w:rFonts w:hint="eastAsia" w:ascii="宋体" w:hAnsi="宋体" w:eastAsia="宋体" w:cs="宋体"/>
          <w:b/>
          <w:bCs/>
          <w:spacing w:val="-2"/>
          <w:sz w:val="48"/>
          <w:szCs w:val="48"/>
          <w:lang w:eastAsia="zh-CN"/>
        </w:rPr>
      </w:pPr>
      <w:r>
        <w:rPr>
          <w:rFonts w:hint="eastAsia" w:ascii="宋体" w:hAnsi="宋体" w:eastAsia="宋体" w:cs="宋体"/>
          <w:b/>
          <w:bCs/>
          <w:spacing w:val="-2"/>
          <w:sz w:val="48"/>
          <w:szCs w:val="48"/>
          <w:lang w:eastAsia="zh-CN"/>
        </w:rPr>
        <w:br w:type="page"/>
      </w:r>
    </w:p>
    <w:p w14:paraId="05810120">
      <w:pPr>
        <w:jc w:val="center"/>
        <w:rPr>
          <w:rFonts w:hint="eastAsia" w:ascii="宋体" w:hAnsi="宋体" w:eastAsia="宋体" w:cs="宋体"/>
          <w:b/>
          <w:bCs/>
          <w:spacing w:val="-2"/>
          <w:sz w:val="32"/>
          <w:szCs w:val="32"/>
          <w:lang w:eastAsia="zh-CN"/>
        </w:rPr>
      </w:pPr>
      <w:r>
        <w:rPr>
          <w:rFonts w:hint="eastAsia" w:ascii="宋体" w:hAnsi="宋体" w:eastAsia="宋体" w:cs="宋体"/>
          <w:b/>
          <w:bCs/>
          <w:spacing w:val="-2"/>
          <w:sz w:val="32"/>
          <w:szCs w:val="32"/>
          <w:lang w:eastAsia="zh-CN"/>
        </w:rPr>
        <w:t>全年绿化养护工作</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7501"/>
      </w:tblGrid>
      <w:tr w14:paraId="2C2B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65" w:type="dxa"/>
            <w:vAlign w:val="center"/>
          </w:tcPr>
          <w:p w14:paraId="6515E0D1">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月份</w:t>
            </w:r>
          </w:p>
        </w:tc>
        <w:tc>
          <w:tcPr>
            <w:tcW w:w="8580" w:type="dxa"/>
            <w:vAlign w:val="center"/>
          </w:tcPr>
          <w:p w14:paraId="1FA41EB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sz w:val="28"/>
                <w:szCs w:val="28"/>
                <w:vertAlign w:val="baseline"/>
                <w:lang w:val="en-US" w:eastAsia="zh-CN"/>
              </w:rPr>
            </w:pPr>
            <w:r>
              <w:rPr>
                <w:rStyle w:val="41"/>
                <w:rFonts w:hint="default" w:ascii="Segoe UI" w:hAnsi="Segoe UI" w:eastAsia="Segoe UI" w:cs="Segoe UI"/>
                <w:b/>
                <w:bCs/>
                <w:i w:val="0"/>
                <w:iCs w:val="0"/>
                <w:color w:val="1F2328"/>
                <w:spacing w:val="0"/>
                <w:kern w:val="0"/>
                <w:sz w:val="28"/>
                <w:szCs w:val="28"/>
                <w:lang w:val="en-US" w:eastAsia="zh-CN" w:bidi="ar"/>
              </w:rPr>
              <w:t>养护任务详细说明</w:t>
            </w:r>
          </w:p>
        </w:tc>
      </w:tr>
      <w:tr w14:paraId="4DC5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65" w:type="dxa"/>
            <w:vAlign w:val="center"/>
          </w:tcPr>
          <w:p w14:paraId="1F9B8ED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一月</w:t>
            </w:r>
          </w:p>
        </w:tc>
        <w:tc>
          <w:tcPr>
            <w:tcW w:w="8580" w:type="dxa"/>
            <w:vAlign w:val="center"/>
          </w:tcPr>
          <w:p w14:paraId="4ABF504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日常巡视，发现断枝等及时</w:t>
            </w:r>
            <w:r>
              <w:rPr>
                <w:rFonts w:hint="default" w:ascii="Segoe UI" w:hAnsi="Segoe UI" w:eastAsia="Segoe UI" w:cs="Segoe UI"/>
                <w:i w:val="0"/>
                <w:iCs w:val="0"/>
                <w:color w:val="1F2328"/>
                <w:spacing w:val="0"/>
                <w:kern w:val="0"/>
                <w:sz w:val="28"/>
                <w:szCs w:val="28"/>
                <w:lang w:val="en-US" w:eastAsia="zh-CN" w:bidi="ar"/>
              </w:rPr>
              <w:t>修剪</w:t>
            </w:r>
            <w:r>
              <w:rPr>
                <w:rFonts w:hint="eastAsia" w:ascii="Segoe UI" w:hAnsi="Segoe UI" w:eastAsia="Segoe UI" w:cs="Segoe UI"/>
                <w:i w:val="0"/>
                <w:iCs w:val="0"/>
                <w:color w:val="1F2328"/>
                <w:spacing w:val="0"/>
                <w:kern w:val="0"/>
                <w:sz w:val="28"/>
                <w:szCs w:val="28"/>
                <w:lang w:val="en-US" w:eastAsia="zh-CN" w:bidi="ar"/>
              </w:rPr>
              <w:t>，并</w:t>
            </w:r>
            <w:r>
              <w:rPr>
                <w:rFonts w:hint="default" w:ascii="Segoe UI" w:hAnsi="Segoe UI" w:eastAsia="Segoe UI" w:cs="Segoe UI"/>
                <w:i w:val="0"/>
                <w:iCs w:val="0"/>
                <w:color w:val="1F2328"/>
                <w:spacing w:val="0"/>
                <w:kern w:val="0"/>
                <w:sz w:val="28"/>
                <w:szCs w:val="28"/>
                <w:lang w:val="en-US" w:eastAsia="zh-CN" w:bidi="ar"/>
              </w:rPr>
              <w:t>清理现场</w:t>
            </w:r>
            <w:r>
              <w:rPr>
                <w:rFonts w:hint="eastAsia" w:ascii="Segoe UI" w:hAnsi="Segoe UI" w:eastAsia="Segoe UI" w:cs="Segoe UI"/>
                <w:i w:val="0"/>
                <w:iCs w:val="0"/>
                <w:color w:val="1F2328"/>
                <w:spacing w:val="0"/>
                <w:kern w:val="0"/>
                <w:sz w:val="28"/>
                <w:szCs w:val="28"/>
                <w:lang w:val="en-US" w:eastAsia="zh-CN" w:bidi="ar"/>
              </w:rPr>
              <w:t>。</w:t>
            </w:r>
          </w:p>
        </w:tc>
      </w:tr>
      <w:tr w14:paraId="7C90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65" w:type="dxa"/>
            <w:vAlign w:val="center"/>
          </w:tcPr>
          <w:p w14:paraId="082F311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二月</w:t>
            </w:r>
          </w:p>
        </w:tc>
        <w:tc>
          <w:tcPr>
            <w:tcW w:w="8580" w:type="dxa"/>
            <w:vAlign w:val="center"/>
          </w:tcPr>
          <w:p w14:paraId="11CDE4C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w:t>
            </w:r>
            <w:r>
              <w:rPr>
                <w:rFonts w:hint="default" w:ascii="Segoe UI" w:hAnsi="Segoe UI" w:eastAsia="Segoe UI" w:cs="Segoe UI"/>
                <w:i w:val="0"/>
                <w:iCs w:val="0"/>
                <w:color w:val="1F2328"/>
                <w:spacing w:val="0"/>
                <w:kern w:val="0"/>
                <w:sz w:val="28"/>
                <w:szCs w:val="28"/>
                <w:lang w:val="en-US" w:eastAsia="zh-CN" w:bidi="ar"/>
              </w:rPr>
              <w:t>关注极端天气</w:t>
            </w:r>
            <w:r>
              <w:rPr>
                <w:rFonts w:hint="eastAsia" w:ascii="Segoe UI" w:hAnsi="Segoe UI" w:eastAsia="Segoe UI" w:cs="Segoe UI"/>
                <w:i w:val="0"/>
                <w:iCs w:val="0"/>
                <w:color w:val="1F2328"/>
                <w:spacing w:val="0"/>
                <w:kern w:val="0"/>
                <w:sz w:val="28"/>
                <w:szCs w:val="28"/>
                <w:lang w:val="en-US" w:eastAsia="zh-CN" w:bidi="ar"/>
              </w:rPr>
              <w:t>，大雪天气安排人员清理松树冠上积雪，防止压断枝条。</w:t>
            </w:r>
          </w:p>
        </w:tc>
      </w:tr>
      <w:tr w14:paraId="3394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65" w:type="dxa"/>
            <w:vAlign w:val="center"/>
          </w:tcPr>
          <w:p w14:paraId="280A6E2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三月</w:t>
            </w:r>
          </w:p>
        </w:tc>
        <w:tc>
          <w:tcPr>
            <w:tcW w:w="8580" w:type="dxa"/>
            <w:vAlign w:val="center"/>
          </w:tcPr>
          <w:p w14:paraId="4B7A974C">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清理绿地内枯枝落叶及</w:t>
            </w:r>
            <w:r>
              <w:rPr>
                <w:rFonts w:hint="eastAsia" w:ascii="Segoe UI" w:hAnsi="Segoe UI" w:eastAsia="Segoe UI" w:cs="Segoe UI"/>
                <w:i w:val="0"/>
                <w:iCs w:val="0"/>
                <w:color w:val="1F2328"/>
                <w:spacing w:val="0"/>
                <w:kern w:val="0"/>
                <w:sz w:val="28"/>
                <w:szCs w:val="28"/>
                <w:lang w:val="en-US" w:eastAsia="zh-CN" w:bidi="ar"/>
              </w:rPr>
              <w:t>残枝；</w:t>
            </w:r>
            <w:r>
              <w:rPr>
                <w:rFonts w:hint="default" w:ascii="Segoe UI" w:hAnsi="Segoe UI" w:eastAsia="Segoe UI" w:cs="Segoe UI"/>
                <w:i w:val="0"/>
                <w:iCs w:val="0"/>
                <w:color w:val="1F2328"/>
                <w:spacing w:val="0"/>
                <w:kern w:val="0"/>
                <w:sz w:val="28"/>
                <w:szCs w:val="28"/>
                <w:lang w:val="en-US" w:eastAsia="zh-CN" w:bidi="ar"/>
              </w:rPr>
              <w:t xml:space="preserve">② </w:t>
            </w:r>
            <w:r>
              <w:rPr>
                <w:rFonts w:hint="eastAsia" w:ascii="Segoe UI" w:hAnsi="Segoe UI" w:eastAsia="Segoe UI" w:cs="Segoe UI"/>
                <w:i w:val="0"/>
                <w:iCs w:val="0"/>
                <w:color w:val="1F2328"/>
                <w:spacing w:val="0"/>
                <w:kern w:val="0"/>
                <w:sz w:val="28"/>
                <w:szCs w:val="28"/>
                <w:lang w:val="en-US" w:eastAsia="zh-CN" w:bidi="ar"/>
              </w:rPr>
              <w:t>进行街路补植；③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26F9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65" w:type="dxa"/>
            <w:vAlign w:val="center"/>
          </w:tcPr>
          <w:p w14:paraId="3607942B">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四月</w:t>
            </w:r>
          </w:p>
        </w:tc>
        <w:tc>
          <w:tcPr>
            <w:tcW w:w="8580" w:type="dxa"/>
            <w:vAlign w:val="center"/>
          </w:tcPr>
          <w:p w14:paraId="7423CB62">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①根据植物需水特性，开始适量浇水</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 xml:space="preserve"> ②防治春季常见病虫害，如蚜虫、螨类等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0FCA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1165" w:type="dxa"/>
            <w:vAlign w:val="center"/>
          </w:tcPr>
          <w:p w14:paraId="6C69EBB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五月</w:t>
            </w:r>
          </w:p>
        </w:tc>
        <w:tc>
          <w:tcPr>
            <w:tcW w:w="8580" w:type="dxa"/>
            <w:vAlign w:val="center"/>
          </w:tcPr>
          <w:p w14:paraId="79D9A85B">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加强浇水与施肥，满足旺盛生长需求</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对树木进行涂白；⑤日常巡视。</w:t>
            </w:r>
          </w:p>
        </w:tc>
      </w:tr>
      <w:tr w14:paraId="4816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14:paraId="3F8A2C35">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六月</w:t>
            </w:r>
          </w:p>
        </w:tc>
        <w:tc>
          <w:tcPr>
            <w:tcW w:w="8580" w:type="dxa"/>
            <w:vAlign w:val="center"/>
          </w:tcPr>
          <w:p w14:paraId="21258CB1">
            <w:pPr>
              <w:keepNext w:val="0"/>
              <w:keepLines w:val="0"/>
              <w:widowControl/>
              <w:suppressLineNumbers w:val="0"/>
              <w:spacing w:before="0" w:beforeAutospacing="0" w:after="0" w:afterAutospacing="0"/>
              <w:ind w:left="0" w:right="0"/>
              <w:jc w:val="left"/>
              <w:rPr>
                <w:rFonts w:hint="default" w:ascii="Segoe UI" w:hAnsi="Segoe UI" w:cs="Segoe UI" w:eastAsia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；④日常巡视。</w:t>
            </w:r>
          </w:p>
        </w:tc>
      </w:tr>
      <w:tr w14:paraId="0FBD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65" w:type="dxa"/>
            <w:vAlign w:val="center"/>
          </w:tcPr>
          <w:p w14:paraId="20BC8CD8">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七月</w:t>
            </w:r>
          </w:p>
        </w:tc>
        <w:tc>
          <w:tcPr>
            <w:tcW w:w="8580" w:type="dxa"/>
            <w:vAlign w:val="center"/>
          </w:tcPr>
          <w:p w14:paraId="485BE6D5">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420" w:lineRule="atLeast"/>
              <w:ind w:left="0" w:right="0" w:firstLine="0"/>
              <w:jc w:val="both"/>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加强对夏季高发病虫害的监测与防治，如白粉病、红蜘蛛等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对草坪进行定期修剪，保持适宜高度</w:t>
            </w:r>
            <w:r>
              <w:rPr>
                <w:rFonts w:hint="eastAsia" w:ascii="Segoe UI" w:hAnsi="Segoe UI" w:eastAsia="Segoe UI" w:cs="Segoe UI"/>
                <w:i w:val="0"/>
                <w:iCs w:val="0"/>
                <w:color w:val="1F2328"/>
                <w:spacing w:val="0"/>
                <w:kern w:val="0"/>
                <w:sz w:val="28"/>
                <w:szCs w:val="28"/>
                <w:lang w:val="en-US" w:eastAsia="zh-CN" w:bidi="ar"/>
              </w:rPr>
              <w:t>；⑤日常巡视。</w:t>
            </w:r>
          </w:p>
        </w:tc>
      </w:tr>
      <w:tr w14:paraId="303F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65" w:type="dxa"/>
            <w:vAlign w:val="center"/>
          </w:tcPr>
          <w:p w14:paraId="620627F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八月</w:t>
            </w:r>
          </w:p>
        </w:tc>
        <w:tc>
          <w:tcPr>
            <w:tcW w:w="8580" w:type="dxa"/>
            <w:vAlign w:val="center"/>
          </w:tcPr>
          <w:p w14:paraId="3A98208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继续做好高温季节的水分管理，防止干旱与涝害</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对草坪进行定期修剪，保持适宜高度</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5047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65" w:type="dxa"/>
            <w:vAlign w:val="center"/>
          </w:tcPr>
          <w:p w14:paraId="669CAD9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九月</w:t>
            </w:r>
          </w:p>
        </w:tc>
        <w:tc>
          <w:tcPr>
            <w:tcW w:w="8580" w:type="dxa"/>
            <w:vAlign w:val="center"/>
          </w:tcPr>
          <w:p w14:paraId="6500CEF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开始秋季施肥，促进植物积累养分过冬</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对草坪进行最后一次重度修剪，准备越冬</w:t>
            </w:r>
            <w:r>
              <w:rPr>
                <w:rFonts w:hint="eastAsia" w:ascii="Segoe UI" w:hAnsi="Segoe UI" w:eastAsia="Segoe UI" w:cs="Segoe UI"/>
                <w:i w:val="0"/>
                <w:iCs w:val="0"/>
                <w:color w:val="1F2328"/>
                <w:spacing w:val="0"/>
                <w:kern w:val="0"/>
                <w:sz w:val="28"/>
                <w:szCs w:val="28"/>
                <w:lang w:val="en-US" w:eastAsia="zh-CN" w:bidi="ar"/>
              </w:rPr>
              <w:t>；③开展秋季绿化彩化工作；④日常巡视。</w:t>
            </w:r>
          </w:p>
        </w:tc>
      </w:tr>
      <w:tr w14:paraId="03F4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65" w:type="dxa"/>
            <w:vAlign w:val="center"/>
          </w:tcPr>
          <w:p w14:paraId="5F2BD20A">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十月</w:t>
            </w:r>
          </w:p>
        </w:tc>
        <w:tc>
          <w:tcPr>
            <w:tcW w:w="8580" w:type="dxa"/>
            <w:vAlign w:val="center"/>
          </w:tcPr>
          <w:p w14:paraId="32914C99">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进行封冻水浇灌；</w:t>
            </w:r>
            <w:r>
              <w:rPr>
                <w:rFonts w:hint="default" w:ascii="Segoe UI" w:hAnsi="Segoe UI" w:eastAsia="Segoe UI" w:cs="Segoe UI"/>
                <w:i w:val="0"/>
                <w:iCs w:val="0"/>
                <w:color w:val="1F2328"/>
                <w:spacing w:val="0"/>
                <w:kern w:val="0"/>
                <w:sz w:val="28"/>
                <w:szCs w:val="28"/>
                <w:lang w:val="en-US" w:eastAsia="zh-CN" w:bidi="ar"/>
              </w:rPr>
              <w:t>② 清理绿地，</w:t>
            </w:r>
            <w:r>
              <w:rPr>
                <w:rFonts w:hint="eastAsia" w:ascii="Segoe UI" w:hAnsi="Segoe UI" w:eastAsia="Segoe UI" w:cs="Segoe UI"/>
                <w:i w:val="0"/>
                <w:iCs w:val="0"/>
                <w:color w:val="1F2328"/>
                <w:spacing w:val="0"/>
                <w:kern w:val="0"/>
                <w:sz w:val="28"/>
                <w:szCs w:val="28"/>
                <w:lang w:val="en-US" w:eastAsia="zh-CN" w:bidi="ar"/>
              </w:rPr>
              <w:t>清</w:t>
            </w:r>
            <w:r>
              <w:rPr>
                <w:rFonts w:hint="default" w:ascii="Segoe UI" w:hAnsi="Segoe UI" w:eastAsia="Segoe UI" w:cs="Segoe UI"/>
                <w:i w:val="0"/>
                <w:iCs w:val="0"/>
                <w:color w:val="1F2328"/>
                <w:spacing w:val="0"/>
                <w:kern w:val="0"/>
                <w:sz w:val="28"/>
                <w:szCs w:val="28"/>
                <w:lang w:val="en-US" w:eastAsia="zh-CN" w:bidi="ar"/>
              </w:rPr>
              <w:t>除病虫害潜伏</w:t>
            </w:r>
            <w:r>
              <w:rPr>
                <w:rFonts w:hint="eastAsia" w:ascii="Segoe UI" w:hAnsi="Segoe UI" w:eastAsia="Segoe UI" w:cs="Segoe UI"/>
                <w:i w:val="0"/>
                <w:iCs w:val="0"/>
                <w:color w:val="1F2328"/>
                <w:spacing w:val="0"/>
                <w:kern w:val="0"/>
                <w:sz w:val="28"/>
                <w:szCs w:val="28"/>
                <w:lang w:val="en-US" w:eastAsia="zh-CN" w:bidi="ar"/>
              </w:rPr>
              <w:t>区域；③对树木进行涂白；④日常巡视。</w:t>
            </w:r>
          </w:p>
        </w:tc>
      </w:tr>
      <w:tr w14:paraId="4A81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65" w:type="dxa"/>
            <w:vAlign w:val="center"/>
          </w:tcPr>
          <w:p w14:paraId="5AB96E5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十一月</w:t>
            </w:r>
          </w:p>
        </w:tc>
        <w:tc>
          <w:tcPr>
            <w:tcW w:w="8580" w:type="dxa"/>
            <w:vAlign w:val="center"/>
          </w:tcPr>
          <w:p w14:paraId="48217CE4">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对常绿乔木进行轻度修剪，保持树形</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对落叶树木进行冬季修剪和整形</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3580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165" w:type="dxa"/>
            <w:vAlign w:val="center"/>
          </w:tcPr>
          <w:p w14:paraId="51300716">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十二月</w:t>
            </w:r>
          </w:p>
        </w:tc>
        <w:tc>
          <w:tcPr>
            <w:tcW w:w="8580" w:type="dxa"/>
            <w:vAlign w:val="center"/>
          </w:tcPr>
          <w:p w14:paraId="57C74E63">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全面检查绿化设施，修复损坏部分</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总结全年养护工作，规划下一年度计划</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bl>
    <w:p w14:paraId="57F97B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7CEEB4C2">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考核要求</w:t>
      </w:r>
    </w:p>
    <w:tbl>
      <w:tblPr>
        <w:tblStyle w:val="38"/>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797"/>
      </w:tblGrid>
      <w:tr w14:paraId="3BE7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7" w:type="dxa"/>
            <w:vAlign w:val="center"/>
          </w:tcPr>
          <w:p w14:paraId="5F00E6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7" w:type="dxa"/>
          </w:tcPr>
          <w:p w14:paraId="4091FEC2">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rPr>
              <w:t>考核内容及扣分标准</w:t>
            </w:r>
          </w:p>
        </w:tc>
      </w:tr>
      <w:tr w14:paraId="47E9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7" w:type="dxa"/>
            <w:vAlign w:val="center"/>
          </w:tcPr>
          <w:p w14:paraId="3195E72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D2613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w:t>
            </w:r>
          </w:p>
        </w:tc>
      </w:tr>
      <w:tr w14:paraId="005C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trPr>
        <w:tc>
          <w:tcPr>
            <w:tcW w:w="467" w:type="dxa"/>
            <w:vAlign w:val="center"/>
          </w:tcPr>
          <w:p w14:paraId="622E9D1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314D5FB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保存率达100%为合格(经招标人认定的自然灾害造成损失除外)；每年春植秋植期间，绿地每缺损一株树木，扣0.1—0.5分(根据树的品种、大小)，每年5月底-10月中旬缺株暂不扣分，但缺株率应小于1%，大于1%，扣1-2分。一处地点树木保存率低于70%，则不支付该地点树木的全年抚育管理费，已支付部分，将在剩余付款或次年付款中扣除，综合保存率在90%以下者，视为管理不良，协议终止，并且招标人不为中标人所做的抚育管理工作支付任何费用。</w:t>
            </w:r>
          </w:p>
        </w:tc>
      </w:tr>
      <w:tr w14:paraId="0CF3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7C4243D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530D1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质量要求：树木生长健壮，枝叶茂盛。树冠不完整、不丰满，树体歪斜，每株扣0.1-0.2分。</w:t>
            </w:r>
          </w:p>
        </w:tc>
      </w:tr>
      <w:tr w14:paraId="6361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7" w:type="dxa"/>
            <w:vAlign w:val="center"/>
          </w:tcPr>
          <w:p w14:paraId="00950A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70BB7A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保持树木基本挺直。倾斜度不超过10度，每发现1株不合格扣0.1分.</w:t>
            </w:r>
          </w:p>
        </w:tc>
      </w:tr>
      <w:tr w14:paraId="66EA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7" w:type="dxa"/>
            <w:vAlign w:val="center"/>
          </w:tcPr>
          <w:p w14:paraId="2760C6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46BD4AC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植物有病虫枝、枯死枝、折枝、衰弱枝、下垂枝、过密枝、根糵和侧芽。每发现1株不合格扣0.1分。</w:t>
            </w:r>
          </w:p>
        </w:tc>
      </w:tr>
      <w:tr w14:paraId="2769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467" w:type="dxa"/>
            <w:vAlign w:val="center"/>
          </w:tcPr>
          <w:p w14:paraId="4141227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7AD3B8E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补植规则式行道树时，在同一路段内要求分枝点高度、胸径大体一致。如品种不一致，配置不合理、规格悬殊影响观赏效果的，每株扣0.2分，并限期整改。</w:t>
            </w:r>
          </w:p>
        </w:tc>
      </w:tr>
      <w:tr w14:paraId="5E11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7" w:type="dxa"/>
            <w:vAlign w:val="center"/>
          </w:tcPr>
          <w:p w14:paraId="05215F0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⑹</w:t>
            </w:r>
          </w:p>
        </w:tc>
        <w:tc>
          <w:tcPr>
            <w:tcW w:w="8797" w:type="dxa"/>
            <w:vAlign w:val="center"/>
          </w:tcPr>
          <w:p w14:paraId="6C463FF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枯树、危树及有潜在危险的树木及时申报,经批准后,立即伐除.未申报或批准后未及时伐除,每株扣0.5—1分。在无绿地占用审批手续的情况下，树木被损毁或被第三方砍伐未能有效制止的，1株（或一延米绿篱）扣1-2分。</w:t>
            </w:r>
          </w:p>
        </w:tc>
      </w:tr>
      <w:tr w14:paraId="79E3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7" w:type="dxa"/>
            <w:vAlign w:val="center"/>
          </w:tcPr>
          <w:p w14:paraId="6B21EC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⑺</w:t>
            </w:r>
          </w:p>
        </w:tc>
        <w:tc>
          <w:tcPr>
            <w:tcW w:w="8797" w:type="dxa"/>
            <w:vAlign w:val="center"/>
          </w:tcPr>
          <w:p w14:paraId="0F8845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树穴内无杂草，无倾倒污水、树上无钉钉、绑铁丝、拴绳现象；树冠上无缠绕其它攀援物。对树穴、绿带要留3 —5厘米水口，对过低者要添土补齐，对超出部分残土应铲除，如发现1株不合格扣0.2分。</w:t>
            </w:r>
          </w:p>
        </w:tc>
      </w:tr>
      <w:tr w14:paraId="32B5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7" w:type="dxa"/>
            <w:vAlign w:val="center"/>
          </w:tcPr>
          <w:p w14:paraId="19517D4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⑻</w:t>
            </w:r>
          </w:p>
        </w:tc>
        <w:tc>
          <w:tcPr>
            <w:tcW w:w="8797" w:type="dxa"/>
            <w:vAlign w:val="center"/>
          </w:tcPr>
          <w:p w14:paraId="663FA54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死树及时清除。每发现1株扣0.2分</w:t>
            </w:r>
          </w:p>
        </w:tc>
      </w:tr>
      <w:tr w14:paraId="11AD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 w:type="dxa"/>
            <w:vAlign w:val="center"/>
          </w:tcPr>
          <w:p w14:paraId="684B8B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⑼</w:t>
            </w:r>
          </w:p>
        </w:tc>
        <w:tc>
          <w:tcPr>
            <w:tcW w:w="8797" w:type="dxa"/>
            <w:vAlign w:val="center"/>
          </w:tcPr>
          <w:p w14:paraId="35301B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行道树叶片按实际情况定期浇水，保持叶面颜色，无严重灰尘覆盖现象。如一处不合要求扣0.5-2分。</w:t>
            </w:r>
          </w:p>
        </w:tc>
      </w:tr>
      <w:tr w14:paraId="76B6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7" w:type="dxa"/>
            <w:vAlign w:val="center"/>
          </w:tcPr>
          <w:p w14:paraId="3BAB8A9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⑽</w:t>
            </w:r>
          </w:p>
          <w:p w14:paraId="3EEFA761">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AF511C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树木涂白2次，5月1日前、10月1日前完成。每1株漏刷或者不合格，扣0.2分。未按期完成，每超期1天扣2分。</w:t>
            </w:r>
          </w:p>
        </w:tc>
      </w:tr>
      <w:tr w14:paraId="1C5D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7" w:type="dxa"/>
            <w:vAlign w:val="center"/>
          </w:tcPr>
          <w:p w14:paraId="5C07A3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⑾</w:t>
            </w:r>
          </w:p>
        </w:tc>
        <w:tc>
          <w:tcPr>
            <w:tcW w:w="8797" w:type="dxa"/>
            <w:vAlign w:val="center"/>
          </w:tcPr>
          <w:p w14:paraId="2C0D7C1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按照园林养护管理季节性特点进行春、冬季植物修剪，修剪要适当，不影响树木生长及观赏价值，发现一株修剪不合格扣0.2-0.5分</w:t>
            </w:r>
          </w:p>
        </w:tc>
      </w:tr>
      <w:tr w14:paraId="2192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7" w:type="dxa"/>
            <w:vAlign w:val="center"/>
          </w:tcPr>
          <w:p w14:paraId="56484FB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p w14:paraId="2F27102D">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8A4490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草坪及杂草</w:t>
            </w:r>
          </w:p>
        </w:tc>
      </w:tr>
      <w:tr w14:paraId="7486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7" w:type="dxa"/>
            <w:vAlign w:val="center"/>
          </w:tcPr>
          <w:p w14:paraId="7939B80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p w14:paraId="36567030">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2D1AB4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长势良好，色泽正常，无斑秃、枯黄现象，无病虫害,每片（块）草坪不合格大于1%，扣0.1-0.2分。如一处地点草坪保存率低于70%，则不支付该地点草坪的全年抚育管理费，已支付部分，将在剩余付款或次年付款中扣除，</w:t>
            </w:r>
          </w:p>
        </w:tc>
      </w:tr>
      <w:tr w14:paraId="0716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7" w:type="dxa"/>
            <w:vAlign w:val="center"/>
          </w:tcPr>
          <w:p w14:paraId="77BFF4A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A1A89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草坪的高度应在10cm以下，高于10cm，每片（块）草坪扣0.5-1分</w:t>
            </w:r>
          </w:p>
        </w:tc>
      </w:tr>
      <w:tr w14:paraId="5FB7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7" w:type="dxa"/>
            <w:vAlign w:val="center"/>
          </w:tcPr>
          <w:p w14:paraId="7B6EB81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6199AE1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绿地内杂草每100平方米超过1%，每块绿地扣0.1-0.2分。</w:t>
            </w:r>
          </w:p>
        </w:tc>
      </w:tr>
      <w:tr w14:paraId="6283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7" w:type="dxa"/>
            <w:vAlign w:val="center"/>
          </w:tcPr>
          <w:p w14:paraId="1C34D8D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326EDF8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杂草及时修剪，杂草高度保持在15cm以下。每片（块）不合格，扣0.5-1分</w:t>
            </w:r>
          </w:p>
        </w:tc>
      </w:tr>
      <w:tr w14:paraId="346B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7" w:type="dxa"/>
            <w:vAlign w:val="center"/>
          </w:tcPr>
          <w:p w14:paraId="6054EA8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7" w:type="dxa"/>
            <w:vAlign w:val="center"/>
          </w:tcPr>
          <w:p w14:paraId="34B5903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绿篱和模纹</w:t>
            </w:r>
          </w:p>
        </w:tc>
      </w:tr>
      <w:tr w14:paraId="626A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7" w:type="dxa"/>
            <w:vAlign w:val="center"/>
          </w:tcPr>
          <w:p w14:paraId="100A10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6D3341A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绿篱模纹修剪不整齐，每延米扣0.1-0.2分</w:t>
            </w:r>
          </w:p>
        </w:tc>
      </w:tr>
      <w:tr w14:paraId="7873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7" w:type="dxa"/>
            <w:vAlign w:val="center"/>
          </w:tcPr>
          <w:p w14:paraId="1C85758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F9CE7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绿篱模纹枝叶稀疏，有秃裸，每延米扣0.1-0.2分</w:t>
            </w:r>
          </w:p>
        </w:tc>
      </w:tr>
      <w:tr w14:paraId="5C97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7" w:type="dxa"/>
            <w:vAlign w:val="center"/>
          </w:tcPr>
          <w:p w14:paraId="0CEF664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57330D7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绿篱模纹有缺株、有枯死株，每株扣0.1-0.2分</w:t>
            </w:r>
          </w:p>
        </w:tc>
      </w:tr>
      <w:tr w14:paraId="69CE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7" w:type="dxa"/>
            <w:vAlign w:val="center"/>
          </w:tcPr>
          <w:p w14:paraId="4C11393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7" w:type="dxa"/>
            <w:vAlign w:val="center"/>
          </w:tcPr>
          <w:p w14:paraId="4BCBF04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花卉和宿根地被</w:t>
            </w:r>
          </w:p>
        </w:tc>
      </w:tr>
      <w:tr w14:paraId="6924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3C0B138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0FF946F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花卉生长健壮，植株整齐，花开茂盛、无缺株或死株，每个地点成活率降低1个百分点，扣0.2-1分；一处地点保存率低于70%，则不支付该地点的全年抚育管理费，已支付部分，将在剩余付款或次年付款中扣除</w:t>
            </w:r>
          </w:p>
        </w:tc>
      </w:tr>
      <w:tr w14:paraId="66BC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2980A1C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CAA23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花卉生长后期后，花卉残株没有及时清理干净，每片（块）扣0.2-0.5分</w:t>
            </w:r>
          </w:p>
        </w:tc>
      </w:tr>
      <w:tr w14:paraId="6D72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75B4FD7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3B6D5C1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应季花卉栽植时间在每年5月20日前完成，10月20日前清理干净。否则每延误一天扣2-10分。</w:t>
            </w:r>
          </w:p>
        </w:tc>
      </w:tr>
      <w:tr w14:paraId="4F56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59582E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270A406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有枯花、枯叶、倒伏、杂草，每平米不合格扣0.2分</w:t>
            </w:r>
          </w:p>
        </w:tc>
      </w:tr>
      <w:tr w14:paraId="384B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67" w:type="dxa"/>
            <w:vAlign w:val="center"/>
          </w:tcPr>
          <w:p w14:paraId="46F7541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vAlign w:val="center"/>
          </w:tcPr>
          <w:p w14:paraId="1960F96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w:t>
            </w:r>
          </w:p>
        </w:tc>
      </w:tr>
      <w:tr w14:paraId="47E7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67" w:type="dxa"/>
            <w:vAlign w:val="center"/>
          </w:tcPr>
          <w:p w14:paraId="4B10099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414D273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病虫害防治及时。及时上报辖区内病虫发生、发展情况，并根据有关病虫预测、预报，合理制定防治计划，并严格按防治计划执行操作。如未及时上报或未按计划执行一次扣0.5-1分。</w:t>
            </w:r>
          </w:p>
        </w:tc>
      </w:tr>
      <w:tr w14:paraId="18A8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67" w:type="dxa"/>
            <w:vAlign w:val="center"/>
          </w:tcPr>
          <w:p w14:paraId="148B1E8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381F024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有病虫害危害迹象，每发现1株（1米绿篱或1平米草坪）树木扣0.1分。病虫害造成植物死亡的，每1株（1米绿篱或1平米草坪）树木扣0.2-0.5分</w:t>
            </w:r>
          </w:p>
        </w:tc>
      </w:tr>
      <w:tr w14:paraId="7603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467" w:type="dxa"/>
          </w:tcPr>
          <w:p w14:paraId="033955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tcPr>
          <w:p w14:paraId="4991B61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其它：</w:t>
            </w:r>
          </w:p>
        </w:tc>
      </w:tr>
      <w:tr w14:paraId="6C67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467" w:type="dxa"/>
          </w:tcPr>
          <w:p w14:paraId="797026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93EFE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绿化现状图详实准确，符合甲方要求，一处地点不合格扣0.2-5分</w:t>
            </w:r>
          </w:p>
        </w:tc>
      </w:tr>
      <w:tr w14:paraId="4C7C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67" w:type="dxa"/>
          </w:tcPr>
          <w:p w14:paraId="543B28A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tcPr>
          <w:p w14:paraId="7C93C8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如因乙方自检不到位,造成绿化植物及绿化设施损毁，具有负面影响力的,根据情节一处扣1 -10分。</w:t>
            </w:r>
          </w:p>
        </w:tc>
      </w:tr>
      <w:tr w14:paraId="25BA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467" w:type="dxa"/>
            <w:vAlign w:val="center"/>
          </w:tcPr>
          <w:p w14:paraId="5CC9092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7" w:type="dxa"/>
            <w:vAlign w:val="center"/>
          </w:tcPr>
          <w:p w14:paraId="2770996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上报计划及各种材料、数据及时、准确。如未及时或不准确上报一次，扣0.1分，未上报，每次扣0.5分。如未按计划实施，每次扣0.5—2分。</w:t>
            </w:r>
          </w:p>
        </w:tc>
      </w:tr>
      <w:tr w14:paraId="0175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467" w:type="dxa"/>
            <w:vAlign w:val="center"/>
          </w:tcPr>
          <w:p w14:paraId="02D656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73AE51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工程施工过程中，要做到日产日清。每发现1次现场未及时清理，扣.1 -2分。因补植树木造成树池周边方砖塌陷，应及时调整，否则每处扣0.1-0.2分.</w:t>
            </w:r>
          </w:p>
        </w:tc>
      </w:tr>
      <w:tr w14:paraId="3AAA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00C5C2C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3DCE9EB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安全生产.每次施工作业时要安全教育及放置安全警示,如因管理不当出现安全事故,责任由乙方负责,产生负面影响的,每次扣1-5分.</w:t>
            </w:r>
          </w:p>
        </w:tc>
      </w:tr>
      <w:tr w14:paraId="6817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467E46D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vAlign w:val="center"/>
          </w:tcPr>
          <w:p w14:paraId="757016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补植树木挖坑、植树时间间隔不得超过2天，每超过一天扣2分。</w:t>
            </w:r>
          </w:p>
        </w:tc>
      </w:tr>
      <w:tr w14:paraId="5EEC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467" w:type="dxa"/>
            <w:vAlign w:val="center"/>
          </w:tcPr>
          <w:p w14:paraId="579FDC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7</w:t>
            </w:r>
          </w:p>
        </w:tc>
        <w:tc>
          <w:tcPr>
            <w:tcW w:w="8797" w:type="dxa"/>
            <w:vAlign w:val="center"/>
          </w:tcPr>
          <w:p w14:paraId="2AC83D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绿地内无砖块、堆物等杂物，树冠上无悬挂物，保持清洁，无小围圈、自留地等乱占绿地现象，有一处扣0.1—1分。</w:t>
            </w:r>
          </w:p>
        </w:tc>
      </w:tr>
      <w:tr w14:paraId="15C5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467" w:type="dxa"/>
            <w:vAlign w:val="center"/>
          </w:tcPr>
          <w:p w14:paraId="256A311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(8)</w:t>
            </w:r>
          </w:p>
        </w:tc>
        <w:tc>
          <w:tcPr>
            <w:tcW w:w="8797" w:type="dxa"/>
            <w:vAlign w:val="center"/>
          </w:tcPr>
          <w:p w14:paraId="75E9649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凡新闻媒体曝光，市、区、局领导批示的群众信件中提出批评，情况属实或整改不及时的，扣1-5分。</w:t>
            </w:r>
          </w:p>
        </w:tc>
      </w:tr>
      <w:tr w14:paraId="1DAA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467" w:type="dxa"/>
          </w:tcPr>
          <w:p w14:paraId="62A962A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tcPr>
          <w:p w14:paraId="1739C0E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奖励加分</w:t>
            </w:r>
          </w:p>
        </w:tc>
      </w:tr>
      <w:tr w14:paraId="3D58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467" w:type="dxa"/>
            <w:vAlign w:val="center"/>
          </w:tcPr>
          <w:p w14:paraId="30E023C6">
            <w:pPr>
              <w:keepNext w:val="0"/>
              <w:keepLines w:val="0"/>
              <w:numPr>
                <w:ilvl w:val="0"/>
                <w:numId w:val="15"/>
              </w:numPr>
              <w:suppressLineNumbers w:val="0"/>
              <w:spacing w:before="0" w:beforeAutospacing="0" w:after="0" w:afterAutospacing="0"/>
              <w:ind w:right="0"/>
              <w:rPr>
                <w:rFonts w:ascii="宋体" w:hAnsi="宋体" w:cs="宋体"/>
                <w:szCs w:val="21"/>
              </w:rPr>
            </w:pPr>
          </w:p>
        </w:tc>
        <w:tc>
          <w:tcPr>
            <w:tcW w:w="8797" w:type="dxa"/>
            <w:vAlign w:val="center"/>
          </w:tcPr>
          <w:p w14:paraId="21C929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对管理部门临时安排的额外工作,按要求保质保量完成任务,给予奖励1-10分。</w:t>
            </w:r>
          </w:p>
        </w:tc>
      </w:tr>
      <w:tr w14:paraId="19DE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467" w:type="dxa"/>
            <w:vAlign w:val="center"/>
          </w:tcPr>
          <w:p w14:paraId="115D781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9D560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市、区、局领导对养护管理提出表扬的给予奖励1-10分。</w:t>
            </w:r>
          </w:p>
        </w:tc>
      </w:tr>
    </w:tbl>
    <w:p w14:paraId="17782C29">
      <w:pPr>
        <w:rPr>
          <w:rFonts w:hint="eastAsia" w:ascii="仿宋" w:hAnsi="仿宋" w:eastAsia="仿宋" w:cs="仿宋"/>
          <w:sz w:val="22"/>
          <w:szCs w:val="28"/>
        </w:rPr>
      </w:pPr>
    </w:p>
    <w:tbl>
      <w:tblPr>
        <w:tblStyle w:val="38"/>
        <w:tblW w:w="926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8795"/>
      </w:tblGrid>
      <w:tr w14:paraId="1194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9" w:type="dxa"/>
            <w:tcBorders>
              <w:top w:val="single" w:color="auto" w:sz="4" w:space="0"/>
              <w:left w:val="single" w:color="auto" w:sz="4" w:space="0"/>
              <w:bottom w:val="single" w:color="auto" w:sz="4" w:space="0"/>
              <w:right w:val="single" w:color="auto" w:sz="4" w:space="0"/>
            </w:tcBorders>
            <w:vAlign w:val="center"/>
          </w:tcPr>
          <w:p w14:paraId="78EDDF2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5" w:type="dxa"/>
            <w:tcBorders>
              <w:top w:val="single" w:color="auto" w:sz="4" w:space="0"/>
              <w:left w:val="single" w:color="auto" w:sz="4" w:space="0"/>
              <w:bottom w:val="single" w:color="auto" w:sz="4" w:space="0"/>
              <w:right w:val="single" w:color="auto" w:sz="4" w:space="0"/>
            </w:tcBorders>
          </w:tcPr>
          <w:p w14:paraId="58961AF4">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lang w:eastAsia="zh-CN"/>
              </w:rPr>
              <w:t>公园</w:t>
            </w:r>
            <w:r>
              <w:rPr>
                <w:rFonts w:hint="eastAsia" w:ascii="宋体" w:hAnsi="宋体" w:cs="宋体"/>
                <w:b/>
                <w:bCs/>
                <w:sz w:val="30"/>
                <w:szCs w:val="30"/>
              </w:rPr>
              <w:t>考核内容及扣分标准</w:t>
            </w:r>
          </w:p>
        </w:tc>
      </w:tr>
      <w:tr w14:paraId="2EFC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9" w:type="dxa"/>
            <w:tcBorders>
              <w:top w:val="single" w:color="auto" w:sz="4" w:space="0"/>
              <w:left w:val="single" w:color="auto" w:sz="4" w:space="0"/>
              <w:bottom w:val="single" w:color="auto" w:sz="4" w:space="0"/>
              <w:right w:val="single" w:color="auto" w:sz="4" w:space="0"/>
            </w:tcBorders>
            <w:vAlign w:val="center"/>
          </w:tcPr>
          <w:p w14:paraId="18C9961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5" w:type="dxa"/>
            <w:tcBorders>
              <w:top w:val="single" w:color="auto" w:sz="4" w:space="0"/>
              <w:left w:val="single" w:color="auto" w:sz="4" w:space="0"/>
              <w:bottom w:val="single" w:color="auto" w:sz="4" w:space="0"/>
              <w:right w:val="single" w:color="auto" w:sz="4" w:space="0"/>
            </w:tcBorders>
          </w:tcPr>
          <w:p w14:paraId="08909DA5">
            <w:pPr>
              <w:keepNext w:val="0"/>
              <w:keepLines w:val="0"/>
              <w:suppressLineNumbers w:val="0"/>
              <w:spacing w:before="0" w:beforeAutospacing="0" w:after="0" w:afterAutospacing="0"/>
              <w:ind w:left="0" w:right="0"/>
              <w:jc w:val="left"/>
              <w:rPr>
                <w:rFonts w:ascii="宋体" w:hAnsi="宋体" w:cs="宋体"/>
                <w:szCs w:val="21"/>
              </w:rPr>
            </w:pPr>
            <w:r>
              <w:rPr>
                <w:rFonts w:hint="eastAsia" w:ascii="宋体" w:hAnsi="宋体" w:cs="宋体"/>
                <w:szCs w:val="21"/>
              </w:rPr>
              <w:t>人员管理</w:t>
            </w:r>
          </w:p>
        </w:tc>
      </w:tr>
      <w:tr w14:paraId="1858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469" w:type="dxa"/>
            <w:tcBorders>
              <w:top w:val="single" w:color="auto" w:sz="4" w:space="0"/>
              <w:left w:val="single" w:color="auto" w:sz="4" w:space="0"/>
              <w:bottom w:val="single" w:color="auto" w:sz="4" w:space="0"/>
              <w:right w:val="single" w:color="auto" w:sz="4" w:space="0"/>
            </w:tcBorders>
            <w:vAlign w:val="center"/>
          </w:tcPr>
          <w:p w14:paraId="28827F9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1655AC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保证公园的安保、保洁人员编制人数,每缺少1人，扣除缺少人员的当月人工费用外并限期整改，两次以上仍然不能定岗定编的，按实际人数支付费用外，扣1-5分</w:t>
            </w:r>
          </w:p>
        </w:tc>
      </w:tr>
      <w:tr w14:paraId="76ED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9" w:type="dxa"/>
            <w:tcBorders>
              <w:top w:val="single" w:color="auto" w:sz="4" w:space="0"/>
              <w:left w:val="single" w:color="auto" w:sz="4" w:space="0"/>
              <w:bottom w:val="single" w:color="auto" w:sz="4" w:space="0"/>
              <w:right w:val="single" w:color="auto" w:sz="4" w:space="0"/>
            </w:tcBorders>
            <w:vAlign w:val="center"/>
          </w:tcPr>
          <w:p w14:paraId="1A38674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0DE9B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公园必须保证夜晚更夫在岗，白天保安巡岗，抽查每空岗一次，扣0.2-0.5分</w:t>
            </w:r>
          </w:p>
        </w:tc>
      </w:tr>
      <w:tr w14:paraId="49FF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9" w:type="dxa"/>
            <w:tcBorders>
              <w:top w:val="single" w:color="auto" w:sz="4" w:space="0"/>
              <w:left w:val="single" w:color="auto" w:sz="4" w:space="0"/>
              <w:bottom w:val="single" w:color="auto" w:sz="4" w:space="0"/>
              <w:right w:val="single" w:color="auto" w:sz="4" w:space="0"/>
            </w:tcBorders>
            <w:vAlign w:val="center"/>
          </w:tcPr>
          <w:p w14:paraId="0C824759">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CF7D04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注重服务礼仪，按规定着装整齐，佩带服务标识，服务态度端正、服务技能过硬、服务用语文明、服务纪律严明，群众满意度高。发现一次不合格扣0.1-0.5分</w:t>
            </w:r>
          </w:p>
        </w:tc>
      </w:tr>
      <w:tr w14:paraId="1582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9" w:type="dxa"/>
            <w:tcBorders>
              <w:top w:val="single" w:color="auto" w:sz="4" w:space="0"/>
              <w:left w:val="single" w:color="auto" w:sz="4" w:space="0"/>
              <w:bottom w:val="single" w:color="auto" w:sz="4" w:space="0"/>
              <w:right w:val="single" w:color="auto" w:sz="4" w:space="0"/>
            </w:tcBorders>
            <w:vAlign w:val="center"/>
          </w:tcPr>
          <w:p w14:paraId="6577A51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tc>
        <w:tc>
          <w:tcPr>
            <w:tcW w:w="8795" w:type="dxa"/>
            <w:tcBorders>
              <w:top w:val="single" w:color="auto" w:sz="4" w:space="0"/>
              <w:left w:val="single" w:color="auto" w:sz="4" w:space="0"/>
              <w:bottom w:val="single" w:color="auto" w:sz="4" w:space="0"/>
              <w:right w:val="single" w:color="auto" w:sz="4" w:space="0"/>
            </w:tcBorders>
            <w:vAlign w:val="center"/>
          </w:tcPr>
          <w:p w14:paraId="3A060F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设施维护</w:t>
            </w:r>
          </w:p>
        </w:tc>
      </w:tr>
      <w:tr w14:paraId="1C90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469" w:type="dxa"/>
            <w:tcBorders>
              <w:top w:val="single" w:color="auto" w:sz="4" w:space="0"/>
              <w:left w:val="single" w:color="auto" w:sz="4" w:space="0"/>
              <w:bottom w:val="single" w:color="auto" w:sz="4" w:space="0"/>
              <w:right w:val="single" w:color="auto" w:sz="4" w:space="0"/>
            </w:tcBorders>
          </w:tcPr>
          <w:p w14:paraId="5166EEA9">
            <w:pPr>
              <w:pStyle w:val="66"/>
              <w:keepNext w:val="0"/>
              <w:keepLines w:val="0"/>
              <w:numPr>
                <w:ilvl w:val="0"/>
                <w:numId w:val="17"/>
              </w:numPr>
              <w:suppressLineNumbers w:val="0"/>
              <w:spacing w:before="0" w:beforeAutospacing="0" w:after="0" w:afterAutospacing="0"/>
              <w:ind w:right="0" w:firstLineChars="0"/>
            </w:pPr>
          </w:p>
        </w:tc>
        <w:tc>
          <w:tcPr>
            <w:tcW w:w="8795" w:type="dxa"/>
            <w:tcBorders>
              <w:top w:val="single" w:color="auto" w:sz="4" w:space="0"/>
              <w:left w:val="single" w:color="auto" w:sz="4" w:space="0"/>
              <w:bottom w:val="single" w:color="auto" w:sz="4" w:space="0"/>
              <w:right w:val="single" w:color="auto" w:sz="4" w:space="0"/>
            </w:tcBorders>
          </w:tcPr>
          <w:p w14:paraId="74DEA5E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公园内各类设施设备坚持好巡检制度，周检查、月总检，发现问题立即整改并做好记录，确保安全。无巡检记录扣0.5分，巡检未记录的每发现一处扣0.2分。</w:t>
            </w:r>
          </w:p>
        </w:tc>
      </w:tr>
      <w:tr w14:paraId="7320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9" w:type="dxa"/>
            <w:tcBorders>
              <w:top w:val="single" w:color="auto" w:sz="4" w:space="0"/>
              <w:left w:val="single" w:color="auto" w:sz="4" w:space="0"/>
              <w:bottom w:val="single" w:color="auto" w:sz="4" w:space="0"/>
              <w:right w:val="single" w:color="auto" w:sz="4" w:space="0"/>
            </w:tcBorders>
            <w:vAlign w:val="center"/>
          </w:tcPr>
          <w:p w14:paraId="6ED0E73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F4252D0">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按照要求配备消防和救护器材，并登记造册，专人管理，定期检查维修保养，保持完好、安全、有效。未登记造册的扣0.5分，器材未定期保养的每发现一处扣0.2分。</w:t>
            </w:r>
          </w:p>
          <w:p w14:paraId="0E6FD3E7">
            <w:pPr>
              <w:keepNext w:val="0"/>
              <w:keepLines w:val="0"/>
              <w:suppressLineNumbers w:val="0"/>
              <w:spacing w:before="0" w:beforeAutospacing="0" w:after="0" w:afterAutospacing="0"/>
              <w:ind w:left="0" w:right="0"/>
              <w:rPr>
                <w:rFonts w:ascii="宋体" w:hAnsi="宋体" w:cs="宋体"/>
                <w:szCs w:val="21"/>
              </w:rPr>
            </w:pPr>
          </w:p>
        </w:tc>
      </w:tr>
      <w:tr w14:paraId="5C6E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9" w:type="dxa"/>
            <w:tcBorders>
              <w:top w:val="single" w:color="auto" w:sz="4" w:space="0"/>
              <w:left w:val="single" w:color="auto" w:sz="4" w:space="0"/>
              <w:bottom w:val="single" w:color="auto" w:sz="4" w:space="0"/>
              <w:right w:val="single" w:color="auto" w:sz="4" w:space="0"/>
            </w:tcBorders>
            <w:vAlign w:val="center"/>
          </w:tcPr>
          <w:p w14:paraId="5117412F">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42C8CD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座椅、果皮箱、健身器材、亭、廊等设施应当每日清洁，定期消毒，做到整洁美观。设施脏污、破损、痰迹的每发现一处扣0.2分。</w:t>
            </w:r>
          </w:p>
          <w:p w14:paraId="3C246CCC">
            <w:pPr>
              <w:keepNext w:val="0"/>
              <w:keepLines w:val="0"/>
              <w:suppressLineNumbers w:val="0"/>
              <w:spacing w:before="0" w:beforeAutospacing="0" w:after="0" w:afterAutospacing="0"/>
              <w:ind w:left="0" w:right="0"/>
              <w:rPr>
                <w:rFonts w:ascii="宋体" w:hAnsi="宋体" w:cs="宋体"/>
                <w:szCs w:val="21"/>
              </w:rPr>
            </w:pPr>
          </w:p>
        </w:tc>
      </w:tr>
      <w:tr w14:paraId="6B56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9" w:type="dxa"/>
            <w:tcBorders>
              <w:top w:val="single" w:color="auto" w:sz="4" w:space="0"/>
              <w:left w:val="single" w:color="auto" w:sz="4" w:space="0"/>
              <w:bottom w:val="single" w:color="auto" w:sz="4" w:space="0"/>
              <w:right w:val="single" w:color="auto" w:sz="4" w:space="0"/>
            </w:tcBorders>
            <w:vAlign w:val="center"/>
          </w:tcPr>
          <w:p w14:paraId="1DEE52C7">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AEA58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园林建筑、园路、园灯、广场、湖堤护岸、亭、廊、桥等基础设施无破损、无刻划，定期保养，及时修复。设施有破损、刻划，未及时修复的，每发现一处扣0.2-0.5分。</w:t>
            </w:r>
          </w:p>
        </w:tc>
      </w:tr>
      <w:tr w14:paraId="252B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9" w:type="dxa"/>
            <w:tcBorders>
              <w:top w:val="single" w:color="auto" w:sz="4" w:space="0"/>
              <w:left w:val="single" w:color="auto" w:sz="4" w:space="0"/>
              <w:bottom w:val="single" w:color="auto" w:sz="4" w:space="0"/>
              <w:right w:val="single" w:color="auto" w:sz="4" w:space="0"/>
            </w:tcBorders>
            <w:vAlign w:val="center"/>
          </w:tcPr>
          <w:p w14:paraId="66216EA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5" w:type="dxa"/>
            <w:tcBorders>
              <w:top w:val="single" w:color="auto" w:sz="4" w:space="0"/>
              <w:left w:val="single" w:color="auto" w:sz="4" w:space="0"/>
              <w:bottom w:val="single" w:color="auto" w:sz="4" w:space="0"/>
              <w:right w:val="single" w:color="auto" w:sz="4" w:space="0"/>
            </w:tcBorders>
            <w:vAlign w:val="center"/>
          </w:tcPr>
          <w:p w14:paraId="2B9EAA73">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环境卫生</w:t>
            </w:r>
          </w:p>
          <w:p w14:paraId="00FDD6F2">
            <w:pPr>
              <w:keepNext w:val="0"/>
              <w:keepLines w:val="0"/>
              <w:suppressLineNumbers w:val="0"/>
              <w:spacing w:before="0" w:beforeAutospacing="0" w:after="0" w:afterAutospacing="0"/>
              <w:ind w:left="0" w:right="0"/>
              <w:rPr>
                <w:rFonts w:ascii="宋体" w:hAnsi="宋体" w:cs="宋体"/>
                <w:szCs w:val="21"/>
              </w:rPr>
            </w:pPr>
          </w:p>
        </w:tc>
      </w:tr>
      <w:tr w14:paraId="6A23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9" w:type="dxa"/>
            <w:tcBorders>
              <w:top w:val="single" w:color="auto" w:sz="4" w:space="0"/>
              <w:left w:val="single" w:color="auto" w:sz="4" w:space="0"/>
              <w:bottom w:val="single" w:color="auto" w:sz="4" w:space="0"/>
              <w:right w:val="single" w:color="auto" w:sz="4" w:space="0"/>
            </w:tcBorders>
            <w:vAlign w:val="center"/>
          </w:tcPr>
          <w:p w14:paraId="19BAC4EB">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211B5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公园办公室内卫生清洁，用品摆放整齐，室内景点有明显禁烟标志，无吸烟现象，办公秩序良好。每发现一处不合格扣0.1分。</w:t>
            </w:r>
          </w:p>
        </w:tc>
      </w:tr>
      <w:tr w14:paraId="3732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9" w:type="dxa"/>
            <w:tcBorders>
              <w:top w:val="single" w:color="auto" w:sz="4" w:space="0"/>
              <w:left w:val="single" w:color="auto" w:sz="4" w:space="0"/>
              <w:bottom w:val="single" w:color="auto" w:sz="4" w:space="0"/>
              <w:right w:val="single" w:color="auto" w:sz="4" w:space="0"/>
            </w:tcBorders>
            <w:vAlign w:val="center"/>
          </w:tcPr>
          <w:p w14:paraId="71B8BE56">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76ACC7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环境清新、整洁、美观。无瓜果皮核，无废弃物，无烟头，无痰迹，林地无杂物、无白色垃圾，垃圾日产日清，清运率达100%</w:t>
            </w:r>
            <w:r>
              <w:rPr>
                <w:rFonts w:hint="eastAsia" w:ascii="宋体" w:hAnsi="宋体" w:cs="宋体"/>
                <w:b/>
                <w:szCs w:val="21"/>
              </w:rPr>
              <w:t>。</w:t>
            </w:r>
            <w:r>
              <w:rPr>
                <w:rFonts w:hint="eastAsia" w:ascii="宋体" w:hAnsi="宋体" w:cs="宋体"/>
                <w:szCs w:val="21"/>
              </w:rPr>
              <w:t>园内发现垃圾每处扣0.2分。</w:t>
            </w:r>
          </w:p>
        </w:tc>
      </w:tr>
      <w:tr w14:paraId="79AA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9" w:type="dxa"/>
            <w:tcBorders>
              <w:top w:val="single" w:color="auto" w:sz="4" w:space="0"/>
              <w:left w:val="single" w:color="auto" w:sz="4" w:space="0"/>
              <w:bottom w:val="single" w:color="auto" w:sz="4" w:space="0"/>
              <w:right w:val="single" w:color="auto" w:sz="4" w:space="0"/>
            </w:tcBorders>
            <w:vAlign w:val="center"/>
          </w:tcPr>
          <w:p w14:paraId="18BAEDB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5" w:type="dxa"/>
            <w:tcBorders>
              <w:top w:val="single" w:color="auto" w:sz="4" w:space="0"/>
              <w:left w:val="single" w:color="auto" w:sz="4" w:space="0"/>
              <w:bottom w:val="single" w:color="auto" w:sz="4" w:space="0"/>
              <w:right w:val="single" w:color="auto" w:sz="4" w:space="0"/>
            </w:tcBorders>
            <w:vAlign w:val="center"/>
          </w:tcPr>
          <w:p w14:paraId="563D9C5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公厕设专人管理，通风照明良好，定时清理，无蚊蝇，水洗厕所无异味。有蚊蝇、臭味、污垢、污迹、污物、积水、乱堆物现象，每发现一处扣0.2分。</w:t>
            </w:r>
          </w:p>
          <w:p w14:paraId="14A42EF8">
            <w:pPr>
              <w:keepNext w:val="0"/>
              <w:keepLines w:val="0"/>
              <w:suppressLineNumbers w:val="0"/>
              <w:spacing w:before="0" w:beforeAutospacing="0" w:after="0" w:afterAutospacing="0"/>
              <w:ind w:left="0" w:right="0"/>
              <w:rPr>
                <w:rFonts w:ascii="宋体" w:hAnsi="宋体" w:cs="宋体"/>
                <w:szCs w:val="21"/>
              </w:rPr>
            </w:pPr>
          </w:p>
        </w:tc>
      </w:tr>
      <w:tr w14:paraId="3F78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9" w:type="dxa"/>
            <w:tcBorders>
              <w:top w:val="single" w:color="auto" w:sz="4" w:space="0"/>
              <w:left w:val="single" w:color="auto" w:sz="4" w:space="0"/>
              <w:bottom w:val="single" w:color="auto" w:sz="4" w:space="0"/>
              <w:right w:val="single" w:color="auto" w:sz="4" w:space="0"/>
            </w:tcBorders>
            <w:vAlign w:val="center"/>
          </w:tcPr>
          <w:p w14:paraId="22CBF89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5" w:type="dxa"/>
            <w:tcBorders>
              <w:top w:val="single" w:color="auto" w:sz="4" w:space="0"/>
              <w:left w:val="single" w:color="auto" w:sz="4" w:space="0"/>
              <w:bottom w:val="single" w:color="auto" w:sz="4" w:space="0"/>
              <w:right w:val="single" w:color="auto" w:sz="4" w:space="0"/>
            </w:tcBorders>
            <w:vAlign w:val="center"/>
          </w:tcPr>
          <w:p w14:paraId="060D18A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路面和边石要定期清理，夏季路面定期洒水；路面完好率达95%；雨后路面无积水。每发现一次不合格扣0.2-1分。</w:t>
            </w:r>
          </w:p>
        </w:tc>
      </w:tr>
      <w:tr w14:paraId="4A3D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9" w:type="dxa"/>
            <w:tcBorders>
              <w:top w:val="single" w:color="auto" w:sz="4" w:space="0"/>
              <w:left w:val="single" w:color="auto" w:sz="4" w:space="0"/>
              <w:bottom w:val="single" w:color="auto" w:sz="4" w:space="0"/>
              <w:right w:val="single" w:color="auto" w:sz="4" w:space="0"/>
            </w:tcBorders>
            <w:vAlign w:val="center"/>
          </w:tcPr>
          <w:p w14:paraId="7E9AB92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0BD53A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湖面每日定时清理，水面无垃圾、漂浮物等；岸坡整洁，无垃圾杂物，一次不合格扣0.2分</w:t>
            </w:r>
          </w:p>
        </w:tc>
      </w:tr>
      <w:tr w14:paraId="56B8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9" w:type="dxa"/>
            <w:tcBorders>
              <w:top w:val="single" w:color="auto" w:sz="4" w:space="0"/>
              <w:left w:val="single" w:color="auto" w:sz="4" w:space="0"/>
              <w:bottom w:val="single" w:color="auto" w:sz="4" w:space="0"/>
              <w:right w:val="single" w:color="auto" w:sz="4" w:space="0"/>
            </w:tcBorders>
            <w:vAlign w:val="center"/>
          </w:tcPr>
          <w:p w14:paraId="43F1C883">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A60F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乱涂、乱画、乱张贴现象，每发现一处扣0.1分。</w:t>
            </w:r>
          </w:p>
        </w:tc>
      </w:tr>
      <w:tr w14:paraId="695C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9" w:type="dxa"/>
            <w:tcBorders>
              <w:top w:val="single" w:color="auto" w:sz="4" w:space="0"/>
              <w:left w:val="single" w:color="auto" w:sz="4" w:space="0"/>
              <w:bottom w:val="single" w:color="auto" w:sz="4" w:space="0"/>
              <w:right w:val="single" w:color="auto" w:sz="4" w:space="0"/>
            </w:tcBorders>
            <w:vAlign w:val="center"/>
          </w:tcPr>
          <w:p w14:paraId="0E7034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5" w:type="dxa"/>
            <w:tcBorders>
              <w:top w:val="single" w:color="auto" w:sz="4" w:space="0"/>
              <w:left w:val="single" w:color="auto" w:sz="4" w:space="0"/>
              <w:bottom w:val="single" w:color="auto" w:sz="4" w:space="0"/>
              <w:right w:val="single" w:color="auto" w:sz="4" w:space="0"/>
            </w:tcBorders>
            <w:vAlign w:val="center"/>
          </w:tcPr>
          <w:p w14:paraId="01A9C7A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安全工作</w:t>
            </w:r>
          </w:p>
        </w:tc>
      </w:tr>
      <w:tr w14:paraId="622C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9" w:type="dxa"/>
            <w:tcBorders>
              <w:top w:val="single" w:color="auto" w:sz="4" w:space="0"/>
              <w:left w:val="single" w:color="auto" w:sz="4" w:space="0"/>
              <w:bottom w:val="single" w:color="auto" w:sz="4" w:space="0"/>
              <w:right w:val="single" w:color="auto" w:sz="4" w:space="0"/>
            </w:tcBorders>
            <w:vAlign w:val="center"/>
          </w:tcPr>
          <w:p w14:paraId="0C4B105C">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6BF40F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除老、幼、病、残者专用的非机动车外，其他车辆未经允许不得进入公园；园内作业车辆禁止鸣笛，开文明车。</w:t>
            </w:r>
            <w:r>
              <w:rPr>
                <w:rFonts w:hint="eastAsia" w:ascii="仿宋" w:hAnsi="仿宋" w:eastAsia="仿宋"/>
                <w:szCs w:val="21"/>
              </w:rPr>
              <w:t>.</w:t>
            </w:r>
            <w:r>
              <w:rPr>
                <w:rFonts w:hint="eastAsia" w:ascii="宋体" w:hAnsi="宋体" w:cs="宋体"/>
                <w:szCs w:val="21"/>
              </w:rPr>
              <w:t>发现一次机动车辆扣0.5分，非机动车辆扣0.2分。</w:t>
            </w:r>
          </w:p>
        </w:tc>
      </w:tr>
      <w:tr w14:paraId="4C4C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9" w:type="dxa"/>
            <w:tcBorders>
              <w:top w:val="single" w:color="auto" w:sz="4" w:space="0"/>
              <w:left w:val="single" w:color="auto" w:sz="4" w:space="0"/>
              <w:bottom w:val="single" w:color="auto" w:sz="4" w:space="0"/>
              <w:right w:val="single" w:color="auto" w:sz="4" w:space="0"/>
            </w:tcBorders>
            <w:vAlign w:val="center"/>
          </w:tcPr>
          <w:p w14:paraId="6DABF6D8">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9299BD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应急预案完备，并定期组织演练。应急预案不完备，未定期组织演练的，扣3分。</w:t>
            </w:r>
          </w:p>
        </w:tc>
      </w:tr>
      <w:tr w14:paraId="7C32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9" w:type="dxa"/>
            <w:tcBorders>
              <w:top w:val="single" w:color="auto" w:sz="4" w:space="0"/>
              <w:left w:val="single" w:color="auto" w:sz="4" w:space="0"/>
              <w:bottom w:val="single" w:color="auto" w:sz="4" w:space="0"/>
              <w:right w:val="single" w:color="auto" w:sz="4" w:space="0"/>
            </w:tcBorders>
            <w:vAlign w:val="center"/>
          </w:tcPr>
          <w:p w14:paraId="3BC25FC2">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AE05BE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建立安全用电制度，严禁违章用电，超负荷用电，保证用电安全。劳动机器设备、工具，定期维护，妥善保管。安全检查记录、会议记录不完备的扣0.3分。</w:t>
            </w:r>
          </w:p>
        </w:tc>
      </w:tr>
      <w:tr w14:paraId="6444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9" w:type="dxa"/>
            <w:tcBorders>
              <w:top w:val="single" w:color="auto" w:sz="4" w:space="0"/>
              <w:left w:val="single" w:color="auto" w:sz="4" w:space="0"/>
              <w:bottom w:val="single" w:color="auto" w:sz="4" w:space="0"/>
              <w:right w:val="single" w:color="auto" w:sz="4" w:space="0"/>
            </w:tcBorders>
            <w:vAlign w:val="center"/>
          </w:tcPr>
          <w:p w14:paraId="436C9ECA">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9148BD1">
            <w:pPr>
              <w:keepNext w:val="0"/>
              <w:keepLines w:val="0"/>
              <w:suppressLineNumbers w:val="0"/>
              <w:spacing w:before="0" w:beforeAutospacing="0" w:after="0" w:afterAutospacing="0" w:line="300" w:lineRule="exact"/>
              <w:ind w:left="0" w:right="0"/>
              <w:rPr>
                <w:rFonts w:ascii="仿宋" w:hAnsi="仿宋" w:eastAsia="仿宋"/>
                <w:szCs w:val="21"/>
              </w:rPr>
            </w:pPr>
            <w:r>
              <w:rPr>
                <w:rFonts w:hint="eastAsia" w:ascii="宋体" w:hAnsi="宋体" w:cs="宋体"/>
                <w:szCs w:val="21"/>
              </w:rPr>
              <w:t>危险区域设置安全警示标识；游乐、健身设施安全提示标识明显清晰。安全警示标识有残缺、字迹不清晰、文字和图形不规范，每发现一处扣0.3分。</w:t>
            </w:r>
          </w:p>
        </w:tc>
      </w:tr>
      <w:tr w14:paraId="3016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9" w:type="dxa"/>
            <w:tcBorders>
              <w:top w:val="single" w:color="auto" w:sz="4" w:space="0"/>
              <w:left w:val="single" w:color="auto" w:sz="4" w:space="0"/>
              <w:bottom w:val="single" w:color="auto" w:sz="4" w:space="0"/>
              <w:right w:val="single" w:color="auto" w:sz="4" w:space="0"/>
            </w:tcBorders>
            <w:vAlign w:val="center"/>
          </w:tcPr>
          <w:p w14:paraId="3807A20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5" w:type="dxa"/>
            <w:tcBorders>
              <w:top w:val="single" w:color="auto" w:sz="4" w:space="0"/>
              <w:left w:val="single" w:color="auto" w:sz="4" w:space="0"/>
              <w:bottom w:val="single" w:color="auto" w:sz="4" w:space="0"/>
              <w:right w:val="single" w:color="auto" w:sz="4" w:space="0"/>
            </w:tcBorders>
            <w:vAlign w:val="center"/>
          </w:tcPr>
          <w:p w14:paraId="17DEEF8F">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冬季清雪</w:t>
            </w:r>
          </w:p>
          <w:p w14:paraId="5E9909B4">
            <w:pPr>
              <w:keepNext w:val="0"/>
              <w:keepLines w:val="0"/>
              <w:suppressLineNumbers w:val="0"/>
              <w:spacing w:before="0" w:beforeAutospacing="0" w:after="0" w:afterAutospacing="0"/>
              <w:ind w:left="0" w:right="0"/>
              <w:rPr>
                <w:rFonts w:ascii="宋体" w:hAnsi="宋体" w:cs="宋体"/>
                <w:szCs w:val="21"/>
              </w:rPr>
            </w:pPr>
          </w:p>
        </w:tc>
      </w:tr>
      <w:tr w14:paraId="3C1A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5CD16867">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689F235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公园内主要园路、公园出入口、主要景点及其他游客密集区域应及时清雪。每发现一处不合格扣0.2分</w:t>
            </w:r>
          </w:p>
        </w:tc>
      </w:tr>
      <w:tr w14:paraId="40CD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64FE8358">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301A2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清雪区域应做到干净、整洁，不危及游客安全，所清的积雪应堆放整齐，不影响公园景观。积雪清理不干净，积雪堆放不整齐，每发现一处0.2分。</w:t>
            </w:r>
          </w:p>
        </w:tc>
      </w:tr>
      <w:tr w14:paraId="6211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2E6C638F">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F343CE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公园应做到小雪当日清，中雪三日清，暴雪五日清。未按时限完成清雪的，扣1-3分</w:t>
            </w:r>
          </w:p>
        </w:tc>
      </w:tr>
      <w:tr w14:paraId="17C9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9" w:type="dxa"/>
            <w:tcBorders>
              <w:top w:val="single" w:color="auto" w:sz="4" w:space="0"/>
              <w:left w:val="single" w:color="auto" w:sz="4" w:space="0"/>
              <w:bottom w:val="single" w:color="auto" w:sz="4" w:space="0"/>
              <w:right w:val="single" w:color="auto" w:sz="4" w:space="0"/>
            </w:tcBorders>
            <w:vAlign w:val="center"/>
          </w:tcPr>
          <w:p w14:paraId="5E0AA43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5" w:type="dxa"/>
            <w:tcBorders>
              <w:top w:val="single" w:color="auto" w:sz="4" w:space="0"/>
              <w:left w:val="single" w:color="auto" w:sz="4" w:space="0"/>
              <w:bottom w:val="single" w:color="auto" w:sz="4" w:space="0"/>
              <w:right w:val="single" w:color="auto" w:sz="4" w:space="0"/>
            </w:tcBorders>
            <w:vAlign w:val="center"/>
          </w:tcPr>
          <w:p w14:paraId="594A707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加扣分事项</w:t>
            </w:r>
          </w:p>
        </w:tc>
      </w:tr>
      <w:tr w14:paraId="7C08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69" w:type="dxa"/>
          </w:tcPr>
          <w:p w14:paraId="3425E55A">
            <w:pPr>
              <w:pStyle w:val="66"/>
              <w:keepNext w:val="0"/>
              <w:keepLines w:val="0"/>
              <w:numPr>
                <w:ilvl w:val="0"/>
                <w:numId w:val="21"/>
              </w:numPr>
              <w:suppressLineNumbers w:val="0"/>
              <w:spacing w:before="0" w:beforeAutospacing="0" w:after="0" w:afterAutospacing="0"/>
              <w:ind w:right="0" w:firstLineChars="0"/>
            </w:pPr>
          </w:p>
        </w:tc>
        <w:tc>
          <w:tcPr>
            <w:tcW w:w="8795" w:type="dxa"/>
          </w:tcPr>
          <w:p w14:paraId="2CDC861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各公园充分结合自身特点，挖掘公园文化内涵，培育公园文化氛围，开展公园主题文化活动成绩突出的，给予加1-5分。</w:t>
            </w:r>
          </w:p>
          <w:p w14:paraId="2311C6E7">
            <w:pPr>
              <w:keepNext w:val="0"/>
              <w:keepLines w:val="0"/>
              <w:suppressLineNumbers w:val="0"/>
              <w:spacing w:before="0" w:beforeAutospacing="0" w:after="0" w:afterAutospacing="0"/>
              <w:ind w:left="0" w:right="0"/>
              <w:rPr>
                <w:rFonts w:ascii="宋体" w:hAnsi="宋体" w:cs="宋体"/>
                <w:szCs w:val="21"/>
              </w:rPr>
            </w:pPr>
          </w:p>
        </w:tc>
      </w:tr>
      <w:tr w14:paraId="1D64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69" w:type="dxa"/>
          </w:tcPr>
          <w:p w14:paraId="639FF56C">
            <w:pPr>
              <w:pStyle w:val="66"/>
              <w:keepNext w:val="0"/>
              <w:keepLines w:val="0"/>
              <w:numPr>
                <w:ilvl w:val="0"/>
                <w:numId w:val="21"/>
              </w:numPr>
              <w:suppressLineNumbers w:val="0"/>
              <w:spacing w:before="0" w:beforeAutospacing="0" w:after="0" w:afterAutospacing="0"/>
              <w:ind w:right="0" w:firstLineChars="0"/>
            </w:pPr>
          </w:p>
        </w:tc>
        <w:tc>
          <w:tcPr>
            <w:tcW w:w="8795" w:type="dxa"/>
          </w:tcPr>
          <w:p w14:paraId="0A97189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各公园因成绩突出，受市主要领导签批表彰，省市主流媒体宣传报道的，给予加1-5分。</w:t>
            </w:r>
          </w:p>
          <w:p w14:paraId="6197F37C">
            <w:pPr>
              <w:keepNext w:val="0"/>
              <w:keepLines w:val="0"/>
              <w:suppressLineNumbers w:val="0"/>
              <w:spacing w:before="0" w:beforeAutospacing="0" w:after="0" w:afterAutospacing="0"/>
              <w:ind w:left="0" w:right="0"/>
              <w:rPr>
                <w:rFonts w:ascii="宋体" w:hAnsi="宋体" w:cs="宋体"/>
                <w:szCs w:val="21"/>
              </w:rPr>
            </w:pPr>
          </w:p>
        </w:tc>
      </w:tr>
      <w:tr w14:paraId="1FFE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69" w:type="dxa"/>
          </w:tcPr>
          <w:p w14:paraId="3C7D0D4F">
            <w:pPr>
              <w:pStyle w:val="66"/>
              <w:keepNext w:val="0"/>
              <w:keepLines w:val="0"/>
              <w:numPr>
                <w:ilvl w:val="0"/>
                <w:numId w:val="21"/>
              </w:numPr>
              <w:suppressLineNumbers w:val="0"/>
              <w:spacing w:before="0" w:beforeAutospacing="0" w:after="0" w:afterAutospacing="0"/>
              <w:ind w:right="0" w:firstLineChars="0"/>
            </w:pPr>
          </w:p>
        </w:tc>
        <w:tc>
          <w:tcPr>
            <w:tcW w:w="8795" w:type="dxa"/>
          </w:tcPr>
          <w:p w14:paraId="247462C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各公园因重大失误、重大事故、重要事项，受市主要领导签批，省市主流媒体曝光，12345市长公开电话举报批评，经核实，扣1-5分</w:t>
            </w:r>
          </w:p>
        </w:tc>
      </w:tr>
    </w:tbl>
    <w:p w14:paraId="125B1212">
      <w:pPr>
        <w:rPr>
          <w:rFonts w:ascii="宋体" w:hAnsi="宋体" w:cs="宋体"/>
          <w:szCs w:val="21"/>
        </w:rPr>
      </w:pPr>
      <w:r>
        <w:rPr>
          <w:rFonts w:hint="eastAsia" w:ascii="宋体" w:hAnsi="宋体" w:cs="宋体"/>
          <w:szCs w:val="21"/>
        </w:rPr>
        <w:t>注:每1分代表1000元.</w:t>
      </w:r>
    </w:p>
    <w:p w14:paraId="4AD0E90C">
      <w:pPr>
        <w:rPr>
          <w:rFonts w:cs="宋体"/>
          <w:szCs w:val="21"/>
        </w:rPr>
      </w:pPr>
    </w:p>
    <w:p w14:paraId="5AFBAF68">
      <w:pPr>
        <w:rPr>
          <w:rFonts w:hint="eastAsia" w:ascii="仿宋" w:hAnsi="仿宋" w:eastAsia="仿宋" w:cs="仿宋"/>
          <w:sz w:val="22"/>
          <w:szCs w:val="28"/>
        </w:rPr>
      </w:pPr>
    </w:p>
    <w:p w14:paraId="770D81D5">
      <w:pPr>
        <w:rPr>
          <w:rFonts w:hint="eastAsia" w:ascii="宋体" w:hAnsi="宋体" w:eastAsia="宋体" w:cs="宋体"/>
          <w:b/>
          <w:bCs/>
          <w:sz w:val="36"/>
          <w:szCs w:val="22"/>
          <w:highlight w:val="none"/>
        </w:rPr>
      </w:pPr>
      <w:r>
        <w:rPr>
          <w:rFonts w:hint="eastAsia" w:ascii="宋体" w:hAnsi="宋体" w:cs="宋体"/>
          <w:b/>
          <w:bCs/>
          <w:sz w:val="36"/>
          <w:szCs w:val="22"/>
          <w:highlight w:val="none"/>
          <w:lang w:val="en-US" w:eastAsia="zh-CN"/>
        </w:rPr>
        <w:t>工程量清单详见附件。</w:t>
      </w:r>
      <w:r>
        <w:rPr>
          <w:rFonts w:hint="eastAsia" w:ascii="宋体" w:hAnsi="宋体" w:eastAsia="宋体" w:cs="宋体"/>
          <w:b/>
          <w:bCs/>
          <w:sz w:val="36"/>
          <w:szCs w:val="22"/>
          <w:highlight w:val="none"/>
        </w:rPr>
        <w:br w:type="page"/>
      </w:r>
    </w:p>
    <w:p w14:paraId="17C0F79B">
      <w:pPr>
        <w:pStyle w:val="73"/>
        <w:rPr>
          <w:rFonts w:hint="eastAsia" w:eastAsia="宋体"/>
          <w:b/>
          <w:sz w:val="32"/>
          <w:szCs w:val="32"/>
          <w:highlight w:val="none"/>
        </w:rPr>
      </w:pPr>
    </w:p>
    <w:p w14:paraId="4821CC5B">
      <w:pPr>
        <w:pStyle w:val="73"/>
        <w:rPr>
          <w:rFonts w:hint="eastAsia" w:eastAsia="宋体"/>
          <w:b/>
          <w:sz w:val="32"/>
          <w:szCs w:val="32"/>
          <w:highlight w:val="none"/>
        </w:rPr>
      </w:pPr>
    </w:p>
    <w:p w14:paraId="79B92649">
      <w:pPr>
        <w:pStyle w:val="2"/>
        <w:bidi w:val="0"/>
        <w:rPr>
          <w:rFonts w:hint="eastAsia"/>
          <w:sz w:val="44"/>
          <w:szCs w:val="16"/>
          <w:highlight w:val="none"/>
        </w:rPr>
      </w:pPr>
      <w:bookmarkStart w:id="64" w:name="_Toc25373"/>
      <w:r>
        <w:rPr>
          <w:rFonts w:hint="eastAsia"/>
          <w:sz w:val="44"/>
          <w:szCs w:val="16"/>
          <w:highlight w:val="none"/>
        </w:rPr>
        <w:t>第六章 投标文件格式</w:t>
      </w:r>
      <w:bookmarkEnd w:id="63"/>
      <w:bookmarkEnd w:id="64"/>
    </w:p>
    <w:p w14:paraId="7E906306">
      <w:pPr>
        <w:pStyle w:val="2"/>
        <w:bidi w:val="0"/>
        <w:rPr>
          <w:rFonts w:hint="eastAsia"/>
          <w:highlight w:val="none"/>
        </w:rPr>
      </w:pPr>
    </w:p>
    <w:p w14:paraId="5D01A22A">
      <w:pPr>
        <w:spacing w:line="360" w:lineRule="auto"/>
        <w:jc w:val="center"/>
        <w:rPr>
          <w:rFonts w:hint="eastAsia" w:ascii="宋体" w:hAnsi="宋体" w:cs="宋体"/>
          <w:color w:val="000000"/>
          <w:highlight w:val="none"/>
        </w:rPr>
      </w:pPr>
    </w:p>
    <w:p w14:paraId="0A69EBE8">
      <w:pPr>
        <w:spacing w:line="360" w:lineRule="auto"/>
        <w:jc w:val="center"/>
        <w:rPr>
          <w:rFonts w:hint="eastAsia" w:ascii="宋体" w:hAnsi="宋体" w:cs="宋体"/>
          <w:b/>
          <w:bCs/>
          <w:color w:val="000000"/>
          <w:sz w:val="30"/>
          <w:szCs w:val="30"/>
          <w:highlight w:val="none"/>
          <w:u w:val="single"/>
        </w:rPr>
      </w:pPr>
      <w:r>
        <w:rPr>
          <w:rFonts w:hint="eastAsia" w:ascii="宋体" w:hAnsi="宋体" w:cs="宋体"/>
          <w:b/>
          <w:bCs/>
          <w:color w:val="000000"/>
          <w:sz w:val="30"/>
          <w:szCs w:val="30"/>
          <w:highlight w:val="none"/>
          <w:u w:val="single"/>
          <w:lang w:val="zh-CN"/>
        </w:rPr>
        <w:t>（项目名称）</w:t>
      </w:r>
    </w:p>
    <w:p w14:paraId="6297A271">
      <w:pPr>
        <w:pStyle w:val="5"/>
        <w:tabs>
          <w:tab w:val="clear" w:pos="720"/>
        </w:tabs>
        <w:autoSpaceDE w:val="0"/>
        <w:autoSpaceDN w:val="0"/>
        <w:adjustRightInd w:val="0"/>
        <w:rPr>
          <w:rFonts w:hint="eastAsia" w:ascii="宋体" w:hAnsi="宋体" w:cs="宋体"/>
          <w:color w:val="000000"/>
          <w:highlight w:val="none"/>
        </w:rPr>
      </w:pPr>
    </w:p>
    <w:p w14:paraId="38193936">
      <w:pPr>
        <w:autoSpaceDE w:val="0"/>
        <w:autoSpaceDN w:val="0"/>
        <w:adjustRightInd w:val="0"/>
        <w:ind w:firstLine="1120" w:firstLineChars="400"/>
        <w:jc w:val="left"/>
        <w:rPr>
          <w:rFonts w:hint="eastAsia" w:ascii="宋体" w:hAnsi="宋体" w:cs="宋体"/>
          <w:color w:val="000000"/>
          <w:kern w:val="0"/>
          <w:sz w:val="28"/>
          <w:szCs w:val="28"/>
          <w:highlight w:val="none"/>
          <w:u w:val="single"/>
        </w:rPr>
      </w:pPr>
    </w:p>
    <w:p w14:paraId="2832B5C0">
      <w:pPr>
        <w:wordWrap w:val="0"/>
        <w:overflowPunct/>
        <w:bidi w:val="0"/>
        <w:spacing w:line="360" w:lineRule="auto"/>
        <w:ind w:firstLine="1400" w:firstLineChars="500"/>
        <w:rPr>
          <w:rFonts w:hint="eastAsia" w:ascii="宋体" w:hAnsi="宋体" w:eastAsia="宋体" w:cs="宋体"/>
          <w:sz w:val="20"/>
          <w:highlight w:val="none"/>
          <w:lang w:eastAsia="zh-CN"/>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lang w:eastAsia="zh-CN"/>
        </w:rPr>
        <w:t>)</w:t>
      </w:r>
    </w:p>
    <w:p w14:paraId="15FB7D67">
      <w:pPr>
        <w:wordWrap w:val="0"/>
        <w:overflowPunct/>
        <w:bidi w:val="0"/>
        <w:spacing w:line="360" w:lineRule="auto"/>
        <w:jc w:val="both"/>
        <w:rPr>
          <w:rFonts w:hint="eastAsia" w:ascii="宋体" w:hAnsi="宋体" w:eastAsia="宋体" w:cs="宋体"/>
          <w:sz w:val="72"/>
          <w:szCs w:val="72"/>
          <w:highlight w:val="none"/>
        </w:rPr>
      </w:pPr>
    </w:p>
    <w:p w14:paraId="64207527">
      <w:pPr>
        <w:wordWrap w:val="0"/>
        <w:overflowPunct/>
        <w:bidi w:val="0"/>
        <w:spacing w:line="360" w:lineRule="auto"/>
        <w:jc w:val="center"/>
        <w:rPr>
          <w:rFonts w:hint="eastAsia" w:ascii="宋体" w:hAnsi="宋体" w:eastAsia="宋体" w:cs="宋体"/>
          <w:sz w:val="72"/>
          <w:szCs w:val="72"/>
          <w:highlight w:val="none"/>
          <w:lang w:eastAsia="zh-CN"/>
        </w:rPr>
      </w:pPr>
      <w:r>
        <w:rPr>
          <w:rFonts w:hint="eastAsia" w:ascii="宋体" w:hAnsi="宋体" w:eastAsia="宋体" w:cs="宋体"/>
          <w:sz w:val="72"/>
          <w:szCs w:val="72"/>
          <w:highlight w:val="none"/>
          <w:lang w:eastAsia="zh-CN"/>
        </w:rPr>
        <w:t>投标文件</w:t>
      </w:r>
    </w:p>
    <w:p w14:paraId="240131AD">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14:paraId="0E92E09C">
      <w:pPr>
        <w:wordWrap w:val="0"/>
        <w:overflowPunct/>
        <w:bidi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F2A45C5">
      <w:pPr>
        <w:wordWrap w:val="0"/>
        <w:overflowPunct/>
        <w:bidi w:val="0"/>
        <w:spacing w:line="360" w:lineRule="auto"/>
        <w:rPr>
          <w:rFonts w:hint="eastAsia" w:ascii="宋体" w:hAnsi="宋体" w:eastAsia="宋体" w:cs="宋体"/>
          <w:sz w:val="28"/>
          <w:szCs w:val="28"/>
          <w:highlight w:val="none"/>
        </w:rPr>
      </w:pPr>
    </w:p>
    <w:p w14:paraId="1407C1CC">
      <w:pPr>
        <w:wordWrap w:val="0"/>
        <w:overflowPunct/>
        <w:bidi w:val="0"/>
        <w:spacing w:line="360" w:lineRule="auto"/>
        <w:rPr>
          <w:rFonts w:hint="eastAsia" w:ascii="宋体" w:hAnsi="宋体" w:eastAsia="宋体" w:cs="宋体"/>
          <w:sz w:val="28"/>
          <w:szCs w:val="28"/>
          <w:highlight w:val="none"/>
        </w:rPr>
      </w:pPr>
    </w:p>
    <w:p w14:paraId="7F981690">
      <w:pPr>
        <w:wordWrap w:val="0"/>
        <w:overflowPunct/>
        <w:bidi w:val="0"/>
        <w:spacing w:line="360" w:lineRule="auto"/>
        <w:rPr>
          <w:rFonts w:hint="eastAsia" w:ascii="宋体" w:hAnsi="宋体" w:eastAsia="宋体" w:cs="宋体"/>
          <w:sz w:val="28"/>
          <w:szCs w:val="28"/>
          <w:highlight w:val="none"/>
        </w:rPr>
      </w:pPr>
    </w:p>
    <w:p w14:paraId="5017D9B0">
      <w:pPr>
        <w:wordWrap w:val="0"/>
        <w:overflowPunct/>
        <w:bidi w:val="0"/>
        <w:spacing w:line="360" w:lineRule="auto"/>
        <w:jc w:val="center"/>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 xml:space="preserve"> 供应商</w:t>
      </w:r>
      <w:r>
        <w:rPr>
          <w:rFonts w:hint="eastAsia" w:ascii="宋体" w:hAnsi="宋体" w:eastAsia="宋体" w:cs="宋体"/>
          <w:sz w:val="28"/>
          <w:szCs w:val="28"/>
          <w:highlight w:val="none"/>
          <w:lang w:val="en-US" w:eastAsia="zh-CN"/>
        </w:rPr>
        <w:t>(单位全称)</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盖单位章</w:t>
      </w:r>
      <w:r>
        <w:rPr>
          <w:rFonts w:hint="eastAsia" w:ascii="宋体" w:hAnsi="宋体" w:eastAsia="宋体" w:cs="宋体"/>
          <w:sz w:val="28"/>
          <w:szCs w:val="28"/>
          <w:highlight w:val="none"/>
          <w:lang w:eastAsia="zh-CN"/>
        </w:rPr>
        <w:t>)</w:t>
      </w:r>
    </w:p>
    <w:p w14:paraId="113DF165">
      <w:pPr>
        <w:wordWrap w:val="0"/>
        <w:overflowPunct/>
        <w:bidi w:val="0"/>
        <w:spacing w:line="360" w:lineRule="auto"/>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签字</w:t>
      </w:r>
      <w:r>
        <w:rPr>
          <w:rFonts w:hint="eastAsia" w:ascii="宋体" w:hAnsi="宋体" w:eastAsia="宋体" w:cs="宋体"/>
          <w:sz w:val="28"/>
          <w:szCs w:val="28"/>
          <w:highlight w:val="none"/>
          <w:lang w:eastAsia="zh-CN"/>
        </w:rPr>
        <w:t>)</w:t>
      </w:r>
    </w:p>
    <w:p w14:paraId="3451F318">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7D842FB2">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76691E18">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1101DE2F">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08F62E96">
      <w:pPr>
        <w:autoSpaceDE w:val="0"/>
        <w:autoSpaceDN w:val="0"/>
        <w:adjustRightInd w:val="0"/>
        <w:spacing w:line="360" w:lineRule="auto"/>
        <w:jc w:val="center"/>
        <w:rPr>
          <w:rFonts w:hint="eastAsia" w:ascii="宋体" w:hAnsi="宋体" w:cs="宋体"/>
          <w:b/>
          <w:bCs/>
          <w:color w:val="000000"/>
          <w:sz w:val="28"/>
          <w:szCs w:val="28"/>
          <w:highlight w:val="none"/>
          <w:lang w:val="zh-CN"/>
        </w:rPr>
      </w:pPr>
      <w:r>
        <w:rPr>
          <w:rFonts w:hint="eastAsia" w:ascii="宋体" w:hAnsi="宋体" w:cs="宋体"/>
          <w:b/>
          <w:bCs/>
          <w:color w:val="000000"/>
          <w:sz w:val="28"/>
          <w:szCs w:val="28"/>
          <w:highlight w:val="none"/>
          <w:lang w:val="zh-CN"/>
        </w:rPr>
        <w:t>目  录</w:t>
      </w:r>
    </w:p>
    <w:p w14:paraId="618C71E5">
      <w:pPr>
        <w:autoSpaceDE w:val="0"/>
        <w:autoSpaceDN w:val="0"/>
        <w:adjustRightInd w:val="0"/>
        <w:jc w:val="center"/>
        <w:rPr>
          <w:rFonts w:hint="eastAsia" w:ascii="宋体" w:hAnsi="宋体" w:cs="宋体"/>
          <w:bCs/>
          <w:color w:val="000000"/>
          <w:sz w:val="24"/>
          <w:highlight w:val="none"/>
          <w:lang w:val="zh-CN"/>
        </w:rPr>
      </w:pPr>
    </w:p>
    <w:p w14:paraId="4CF15B3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第一部分、商务文件</w:t>
      </w:r>
    </w:p>
    <w:p w14:paraId="07832A11">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2DC95F4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二、法定代表人身份证明及法定代表人授权书</w:t>
      </w:r>
      <w:r>
        <w:rPr>
          <w:rFonts w:hint="eastAsia" w:ascii="宋体" w:hAnsi="宋体" w:cs="宋体"/>
          <w:bCs/>
          <w:color w:val="000000"/>
          <w:szCs w:val="21"/>
          <w:highlight w:val="none"/>
        </w:rPr>
        <w:t xml:space="preserve"> </w:t>
      </w:r>
    </w:p>
    <w:p w14:paraId="4CEB528A">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三、开标一览表</w:t>
      </w:r>
    </w:p>
    <w:p w14:paraId="041FB05F">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四、偏离表</w:t>
      </w:r>
    </w:p>
    <w:p w14:paraId="4A7E9CF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五、投标人基本情况</w:t>
      </w:r>
    </w:p>
    <w:p w14:paraId="4DF393E0">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六、投标保证金</w:t>
      </w:r>
    </w:p>
    <w:p w14:paraId="4E7056E2">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七、投标人资格声明</w:t>
      </w:r>
    </w:p>
    <w:p w14:paraId="44AF3804">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八、类似项目业绩统计表</w:t>
      </w:r>
    </w:p>
    <w:p w14:paraId="672F274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九</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服务承诺</w:t>
      </w:r>
    </w:p>
    <w:p w14:paraId="39DEA33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十、承诺书</w:t>
      </w:r>
    </w:p>
    <w:p w14:paraId="477287D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十</w:t>
      </w:r>
      <w:r>
        <w:rPr>
          <w:rFonts w:hint="eastAsia" w:ascii="宋体" w:hAnsi="宋体" w:cs="宋体"/>
          <w:bCs/>
          <w:color w:val="000000"/>
          <w:szCs w:val="21"/>
          <w:highlight w:val="none"/>
        </w:rPr>
        <w:t>一</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中小企业声明函</w:t>
      </w:r>
    </w:p>
    <w:p w14:paraId="64B61A75">
      <w:pPr>
        <w:autoSpaceDE w:val="0"/>
        <w:autoSpaceDN w:val="0"/>
        <w:adjustRightInd w:val="0"/>
        <w:spacing w:line="360" w:lineRule="auto"/>
        <w:rPr>
          <w:rFonts w:hint="eastAsia" w:ascii="宋体" w:hAnsi="宋体" w:cs="宋体"/>
          <w:b/>
          <w:bCs/>
          <w:color w:val="000000"/>
          <w:szCs w:val="21"/>
          <w:highlight w:val="none"/>
          <w:lang w:val="zh-CN"/>
        </w:rPr>
      </w:pPr>
      <w:r>
        <w:rPr>
          <w:rFonts w:hint="eastAsia" w:ascii="宋体" w:hAnsi="宋体" w:cs="宋体"/>
          <w:b/>
          <w:bCs/>
          <w:color w:val="000000"/>
          <w:szCs w:val="21"/>
          <w:highlight w:val="none"/>
          <w:lang w:val="zh-CN"/>
        </w:rPr>
        <w:t>第二部分、技术文件</w:t>
      </w:r>
    </w:p>
    <w:p w14:paraId="025C39D1">
      <w:pPr>
        <w:pStyle w:val="73"/>
        <w:spacing w:line="360" w:lineRule="auto"/>
        <w:rPr>
          <w:rFonts w:hint="default" w:eastAsia="宋体"/>
          <w:sz w:val="21"/>
          <w:szCs w:val="21"/>
          <w:highlight w:val="none"/>
          <w:lang w:val="en-US" w:eastAsia="zh-CN"/>
        </w:rPr>
      </w:pPr>
      <w:r>
        <w:rPr>
          <w:rFonts w:hint="eastAsia" w:eastAsia="宋体"/>
          <w:sz w:val="21"/>
          <w:szCs w:val="21"/>
          <w:highlight w:val="none"/>
          <w:lang w:val="zh-CN"/>
        </w:rPr>
        <w:t>根据评标办法逐条列出</w:t>
      </w:r>
    </w:p>
    <w:p w14:paraId="638E181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
          <w:color w:val="000000"/>
          <w:szCs w:val="21"/>
          <w:highlight w:val="none"/>
        </w:rPr>
        <w:t>第三部分、投标人认为有必要提供的其他材料</w:t>
      </w:r>
    </w:p>
    <w:p w14:paraId="628D788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注：为了方便评标，投标人可根据本目录格式进行填充，建议投标人自行制作评标索引。</w:t>
      </w:r>
    </w:p>
    <w:p w14:paraId="4391687F">
      <w:pPr>
        <w:autoSpaceDE w:val="0"/>
        <w:autoSpaceDN w:val="0"/>
        <w:adjustRightInd w:val="0"/>
        <w:jc w:val="center"/>
        <w:rPr>
          <w:rFonts w:hint="eastAsia" w:ascii="宋体" w:hAnsi="宋体" w:cs="宋体"/>
          <w:bCs/>
          <w:color w:val="000000"/>
          <w:sz w:val="32"/>
          <w:szCs w:val="32"/>
          <w:highlight w:val="none"/>
        </w:rPr>
      </w:pPr>
    </w:p>
    <w:p w14:paraId="7E7EEF73">
      <w:pPr>
        <w:autoSpaceDE w:val="0"/>
        <w:autoSpaceDN w:val="0"/>
        <w:adjustRightInd w:val="0"/>
        <w:jc w:val="center"/>
        <w:rPr>
          <w:rFonts w:hint="eastAsia" w:ascii="宋体" w:hAnsi="宋体" w:cs="宋体"/>
          <w:bCs/>
          <w:color w:val="000000"/>
          <w:sz w:val="32"/>
          <w:szCs w:val="32"/>
          <w:highlight w:val="none"/>
        </w:rPr>
      </w:pPr>
    </w:p>
    <w:p w14:paraId="00EE1D0E">
      <w:pPr>
        <w:autoSpaceDE w:val="0"/>
        <w:autoSpaceDN w:val="0"/>
        <w:adjustRightInd w:val="0"/>
        <w:jc w:val="center"/>
        <w:rPr>
          <w:rFonts w:hint="eastAsia" w:ascii="宋体" w:hAnsi="宋体" w:cs="宋体"/>
          <w:bCs/>
          <w:color w:val="000000"/>
          <w:sz w:val="32"/>
          <w:szCs w:val="32"/>
          <w:highlight w:val="none"/>
        </w:rPr>
      </w:pPr>
    </w:p>
    <w:p w14:paraId="6491FF4A">
      <w:pPr>
        <w:autoSpaceDE w:val="0"/>
        <w:autoSpaceDN w:val="0"/>
        <w:adjustRightInd w:val="0"/>
        <w:jc w:val="center"/>
        <w:rPr>
          <w:rFonts w:hint="eastAsia" w:ascii="宋体" w:hAnsi="宋体" w:cs="宋体"/>
          <w:bCs/>
          <w:color w:val="000000"/>
          <w:sz w:val="32"/>
          <w:szCs w:val="32"/>
          <w:highlight w:val="none"/>
        </w:rPr>
      </w:pPr>
    </w:p>
    <w:p w14:paraId="18CB02CB">
      <w:pPr>
        <w:autoSpaceDE w:val="0"/>
        <w:autoSpaceDN w:val="0"/>
        <w:adjustRightInd w:val="0"/>
        <w:jc w:val="center"/>
        <w:rPr>
          <w:rFonts w:hint="eastAsia" w:ascii="宋体" w:hAnsi="宋体" w:cs="宋体"/>
          <w:bCs/>
          <w:color w:val="000000"/>
          <w:sz w:val="32"/>
          <w:szCs w:val="32"/>
          <w:highlight w:val="none"/>
        </w:rPr>
      </w:pPr>
    </w:p>
    <w:p w14:paraId="2682F044">
      <w:pPr>
        <w:autoSpaceDE w:val="0"/>
        <w:autoSpaceDN w:val="0"/>
        <w:adjustRightInd w:val="0"/>
        <w:jc w:val="center"/>
        <w:rPr>
          <w:rFonts w:hint="eastAsia" w:ascii="宋体" w:hAnsi="宋体" w:cs="宋体"/>
          <w:bCs/>
          <w:color w:val="000000"/>
          <w:sz w:val="32"/>
          <w:szCs w:val="32"/>
          <w:highlight w:val="none"/>
        </w:rPr>
      </w:pPr>
    </w:p>
    <w:p w14:paraId="7CAADAF3">
      <w:pPr>
        <w:pStyle w:val="73"/>
        <w:rPr>
          <w:rFonts w:hint="eastAsia" w:eastAsia="宋体"/>
          <w:bCs/>
          <w:sz w:val="32"/>
          <w:szCs w:val="32"/>
          <w:highlight w:val="none"/>
        </w:rPr>
      </w:pPr>
    </w:p>
    <w:p w14:paraId="12F02618">
      <w:pPr>
        <w:pStyle w:val="73"/>
        <w:rPr>
          <w:rFonts w:hint="eastAsia" w:eastAsia="宋体"/>
          <w:bCs/>
          <w:sz w:val="32"/>
          <w:szCs w:val="32"/>
          <w:highlight w:val="none"/>
        </w:rPr>
      </w:pPr>
    </w:p>
    <w:p w14:paraId="1A636897">
      <w:pPr>
        <w:pStyle w:val="73"/>
        <w:rPr>
          <w:rFonts w:hint="eastAsia" w:eastAsia="宋体"/>
          <w:bCs/>
          <w:sz w:val="32"/>
          <w:szCs w:val="32"/>
          <w:highlight w:val="none"/>
        </w:rPr>
      </w:pPr>
    </w:p>
    <w:p w14:paraId="520EAD08">
      <w:pPr>
        <w:pStyle w:val="73"/>
        <w:rPr>
          <w:rFonts w:hint="eastAsia" w:eastAsia="宋体"/>
          <w:bCs/>
          <w:sz w:val="32"/>
          <w:szCs w:val="32"/>
          <w:highlight w:val="none"/>
        </w:rPr>
      </w:pPr>
    </w:p>
    <w:p w14:paraId="4E0E3CA8">
      <w:pPr>
        <w:pStyle w:val="73"/>
        <w:rPr>
          <w:rFonts w:hint="eastAsia" w:eastAsia="宋体"/>
          <w:bCs/>
          <w:sz w:val="32"/>
          <w:szCs w:val="32"/>
          <w:highlight w:val="none"/>
        </w:rPr>
      </w:pPr>
    </w:p>
    <w:p w14:paraId="7CEF7F73">
      <w:pPr>
        <w:pStyle w:val="73"/>
        <w:rPr>
          <w:rFonts w:hint="eastAsia" w:eastAsia="宋体"/>
          <w:bCs/>
          <w:sz w:val="32"/>
          <w:szCs w:val="32"/>
          <w:highlight w:val="none"/>
        </w:rPr>
      </w:pPr>
    </w:p>
    <w:p w14:paraId="050984EA">
      <w:pPr>
        <w:pStyle w:val="73"/>
        <w:rPr>
          <w:rFonts w:hint="eastAsia" w:eastAsia="宋体"/>
          <w:bCs/>
          <w:sz w:val="32"/>
          <w:szCs w:val="32"/>
          <w:highlight w:val="none"/>
        </w:rPr>
      </w:pPr>
    </w:p>
    <w:p w14:paraId="56FF63F3">
      <w:pPr>
        <w:autoSpaceDE w:val="0"/>
        <w:autoSpaceDN w:val="0"/>
        <w:adjustRightInd w:val="0"/>
        <w:spacing w:line="360" w:lineRule="auto"/>
        <w:jc w:val="center"/>
        <w:rPr>
          <w:rFonts w:hint="eastAsia" w:ascii="宋体" w:hAnsi="宋体" w:cs="宋体"/>
          <w:color w:val="000000"/>
          <w:sz w:val="30"/>
          <w:szCs w:val="30"/>
          <w:highlight w:val="none"/>
          <w:lang w:val="zh-CN"/>
        </w:rPr>
      </w:pPr>
      <w:r>
        <w:rPr>
          <w:rFonts w:hint="eastAsia" w:ascii="宋体" w:hAnsi="宋体" w:cs="宋体"/>
          <w:color w:val="000000"/>
          <w:sz w:val="30"/>
          <w:szCs w:val="30"/>
          <w:highlight w:val="none"/>
          <w:lang w:val="zh-CN"/>
        </w:rPr>
        <w:t>第一部分、商务文件</w:t>
      </w:r>
    </w:p>
    <w:p w14:paraId="68B5F226">
      <w:pPr>
        <w:autoSpaceDE w:val="0"/>
        <w:autoSpaceDN w:val="0"/>
        <w:adjustRightInd w:val="0"/>
        <w:spacing w:line="360" w:lineRule="auto"/>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4E024B11">
      <w:pPr>
        <w:autoSpaceDE w:val="0"/>
        <w:autoSpaceDN w:val="0"/>
        <w:adjustRightInd w:val="0"/>
        <w:spacing w:line="360" w:lineRule="auto"/>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      </w:t>
      </w:r>
    </w:p>
    <w:p w14:paraId="517C9CA6">
      <w:pPr>
        <w:autoSpaceDE w:val="0"/>
        <w:autoSpaceDN w:val="0"/>
        <w:adjustRightInd w:val="0"/>
        <w:spacing w:line="360" w:lineRule="auto"/>
        <w:rPr>
          <w:rFonts w:hint="eastAsia" w:ascii="宋体" w:hAnsi="宋体" w:cs="宋体"/>
          <w:bCs/>
          <w:color w:val="000000"/>
          <w:szCs w:val="21"/>
          <w:highlight w:val="none"/>
          <w:lang w:val="zh-CN"/>
        </w:rPr>
      </w:pPr>
    </w:p>
    <w:p w14:paraId="217B71C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根据你方</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招标文件，我方正式授权的下述签字人</w:t>
      </w:r>
      <w:r>
        <w:rPr>
          <w:rFonts w:hint="eastAsia" w:ascii="宋体" w:hAnsi="宋体" w:cs="宋体"/>
          <w:bCs/>
          <w:color w:val="000000"/>
          <w:szCs w:val="21"/>
          <w:highlight w:val="none"/>
          <w:u w:val="single"/>
          <w:lang w:val="zh-CN"/>
        </w:rPr>
        <w:t xml:space="preserve">  （姓名和职务）  </w:t>
      </w:r>
      <w:r>
        <w:rPr>
          <w:rFonts w:hint="eastAsia" w:ascii="宋体" w:hAnsi="宋体" w:cs="宋体"/>
          <w:bCs/>
          <w:color w:val="000000"/>
          <w:szCs w:val="21"/>
          <w:highlight w:val="none"/>
          <w:lang w:val="zh-CN"/>
        </w:rPr>
        <w:t>代表我方</w:t>
      </w:r>
      <w:r>
        <w:rPr>
          <w:rFonts w:hint="eastAsia" w:ascii="宋体" w:hAnsi="宋体" w:cs="宋体"/>
          <w:bCs/>
          <w:color w:val="000000"/>
          <w:szCs w:val="21"/>
          <w:highlight w:val="none"/>
          <w:u w:val="single"/>
          <w:lang w:val="zh-CN"/>
        </w:rPr>
        <w:t xml:space="preserve">  （投标人的名称）  </w:t>
      </w:r>
      <w:r>
        <w:rPr>
          <w:rFonts w:hint="eastAsia" w:ascii="宋体" w:hAnsi="宋体" w:cs="宋体"/>
          <w:bCs/>
          <w:color w:val="000000"/>
          <w:szCs w:val="21"/>
          <w:highlight w:val="none"/>
          <w:lang w:val="zh-CN"/>
        </w:rPr>
        <w:t>，并保证所提供的全部文件是真实的、有效的和准确的。</w:t>
      </w:r>
    </w:p>
    <w:p w14:paraId="537293E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据此函，签字人兹宣布同意如下：</w:t>
      </w:r>
    </w:p>
    <w:p w14:paraId="745387E7">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1.按招标文件规定投标报价为：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lang w:val="zh-CN"/>
        </w:rPr>
        <w:t>元</w:t>
      </w:r>
    </w:p>
    <w:p w14:paraId="5230BC8A">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2.如果我方中标，我们保证根据招标文件规定履行合同责任和义务。合同履行期限：</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w:t>
      </w:r>
    </w:p>
    <w:p w14:paraId="37BF4C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.我们已详细阅读了全部招标文件，包括招标文件的修改、补充文件、参考资料及有关的附件，我们接受招标文件的全部条款和条件，我们知道必须放弃提出含糊不清或误解的问题的权利。</w:t>
      </w:r>
    </w:p>
    <w:p w14:paraId="47DD6E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.我们对招标文件关于时限、程序方面的规定没有异议，保证按照招标文件规定的时限和程序参加投标活动。</w:t>
      </w:r>
    </w:p>
    <w:p w14:paraId="666FEC3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.我们同意在投标人须知规定的开标时间起遵循本投标文件，并在投标人须知规定的投标有效期满之前均具有约束力，并有可能中标。</w:t>
      </w:r>
    </w:p>
    <w:p w14:paraId="39B0A98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6</w:t>
      </w:r>
      <w:r>
        <w:rPr>
          <w:rFonts w:hint="eastAsia" w:ascii="宋体" w:hAnsi="宋体" w:cs="宋体"/>
          <w:bCs/>
          <w:color w:val="000000"/>
          <w:szCs w:val="21"/>
          <w:highlight w:val="none"/>
          <w:lang w:val="zh-CN"/>
        </w:rPr>
        <w:t>.我们保证向你方提供你方可能要求的与本投标有关的任何证据或资料。</w:t>
      </w:r>
    </w:p>
    <w:p w14:paraId="64FECAF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7</w:t>
      </w:r>
      <w:r>
        <w:rPr>
          <w:rFonts w:hint="eastAsia" w:ascii="宋体" w:hAnsi="宋体" w:cs="宋体"/>
          <w:bCs/>
          <w:color w:val="000000"/>
          <w:szCs w:val="21"/>
          <w:highlight w:val="none"/>
          <w:lang w:val="zh-CN"/>
        </w:rPr>
        <w:t>.我们完全理解你方不一定要接受最低报价的投标。</w:t>
      </w:r>
    </w:p>
    <w:p w14:paraId="32F2656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8</w:t>
      </w:r>
      <w:r>
        <w:rPr>
          <w:rFonts w:hint="eastAsia" w:ascii="宋体" w:hAnsi="宋体" w:cs="宋体"/>
          <w:bCs/>
          <w:color w:val="000000"/>
          <w:szCs w:val="21"/>
          <w:highlight w:val="none"/>
          <w:lang w:val="zh-CN"/>
        </w:rPr>
        <w:t>.本投标自开标之时起</w:t>
      </w:r>
      <w:r>
        <w:rPr>
          <w:rFonts w:hint="eastAsia" w:ascii="宋体" w:hAnsi="宋体" w:cs="宋体"/>
          <w:bCs/>
          <w:color w:val="000000"/>
          <w:szCs w:val="21"/>
          <w:highlight w:val="none"/>
          <w:u w:val="single"/>
          <w:lang w:val="zh-CN"/>
        </w:rPr>
        <w:t>90</w:t>
      </w:r>
      <w:r>
        <w:rPr>
          <w:rFonts w:hint="eastAsia" w:ascii="宋体" w:hAnsi="宋体" w:cs="宋体"/>
          <w:bCs/>
          <w:color w:val="000000"/>
          <w:szCs w:val="21"/>
          <w:highlight w:val="none"/>
          <w:lang w:val="zh-CN"/>
        </w:rPr>
        <w:t>天内有效。</w:t>
      </w:r>
    </w:p>
    <w:p w14:paraId="77AFEBC6">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投标人名称（加盖公章）：                      </w:t>
      </w:r>
    </w:p>
    <w:p w14:paraId="13B62FBA">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投标人代表（签名）：                  </w:t>
      </w:r>
    </w:p>
    <w:p w14:paraId="63EF350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地址：                                       </w:t>
      </w:r>
    </w:p>
    <w:p w14:paraId="19072D9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电话：                                                              </w:t>
      </w:r>
    </w:p>
    <w:p w14:paraId="409CCBF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日期：         年    月   日</w:t>
      </w:r>
    </w:p>
    <w:p w14:paraId="56825EBD">
      <w:pPr>
        <w:autoSpaceDE w:val="0"/>
        <w:autoSpaceDN w:val="0"/>
        <w:adjustRightInd w:val="0"/>
        <w:spacing w:line="360" w:lineRule="auto"/>
        <w:ind w:firstLine="47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注：投标函必须按规定有效签署和加盖公章。</w:t>
      </w:r>
    </w:p>
    <w:p w14:paraId="4AFD8199">
      <w:pPr>
        <w:autoSpaceDE w:val="0"/>
        <w:autoSpaceDN w:val="0"/>
        <w:adjustRightInd w:val="0"/>
        <w:rPr>
          <w:rFonts w:hint="eastAsia" w:ascii="宋体" w:hAnsi="宋体" w:cs="宋体"/>
          <w:bCs/>
          <w:color w:val="000000"/>
          <w:sz w:val="24"/>
          <w:highlight w:val="none"/>
          <w:lang w:val="zh-CN"/>
        </w:rPr>
      </w:pPr>
    </w:p>
    <w:p w14:paraId="30185A69">
      <w:pPr>
        <w:autoSpaceDE w:val="0"/>
        <w:autoSpaceDN w:val="0"/>
        <w:adjustRightInd w:val="0"/>
        <w:rPr>
          <w:rFonts w:hint="eastAsia" w:ascii="宋体" w:hAnsi="宋体" w:cs="宋体"/>
          <w:bCs/>
          <w:color w:val="000000"/>
          <w:sz w:val="24"/>
          <w:highlight w:val="none"/>
          <w:lang w:val="zh-CN"/>
        </w:rPr>
      </w:pPr>
    </w:p>
    <w:p w14:paraId="4D38BB58">
      <w:pPr>
        <w:autoSpaceDE w:val="0"/>
        <w:autoSpaceDN w:val="0"/>
        <w:adjustRightInd w:val="0"/>
        <w:rPr>
          <w:rFonts w:hint="eastAsia" w:ascii="宋体" w:hAnsi="宋体" w:cs="宋体"/>
          <w:bCs/>
          <w:color w:val="000000"/>
          <w:sz w:val="24"/>
          <w:highlight w:val="none"/>
          <w:lang w:val="zh-CN"/>
        </w:rPr>
      </w:pPr>
    </w:p>
    <w:p w14:paraId="7653F7C3">
      <w:pPr>
        <w:autoSpaceDE w:val="0"/>
        <w:autoSpaceDN w:val="0"/>
        <w:adjustRightInd w:val="0"/>
        <w:rPr>
          <w:rFonts w:hint="eastAsia" w:ascii="宋体" w:hAnsi="宋体" w:cs="宋体"/>
          <w:bCs/>
          <w:color w:val="000000"/>
          <w:sz w:val="24"/>
          <w:highlight w:val="none"/>
          <w:lang w:val="zh-CN"/>
        </w:rPr>
      </w:pPr>
    </w:p>
    <w:p w14:paraId="0830799A">
      <w:pPr>
        <w:autoSpaceDE w:val="0"/>
        <w:autoSpaceDN w:val="0"/>
        <w:adjustRightInd w:val="0"/>
        <w:rPr>
          <w:rFonts w:hint="eastAsia" w:ascii="宋体" w:hAnsi="宋体" w:cs="宋体"/>
          <w:bCs/>
          <w:color w:val="000000"/>
          <w:sz w:val="24"/>
          <w:highlight w:val="none"/>
          <w:lang w:val="zh-CN"/>
        </w:rPr>
      </w:pPr>
    </w:p>
    <w:p w14:paraId="7D49A6F6">
      <w:pPr>
        <w:autoSpaceDE w:val="0"/>
        <w:autoSpaceDN w:val="0"/>
        <w:adjustRightInd w:val="0"/>
        <w:rPr>
          <w:rFonts w:hint="eastAsia" w:ascii="宋体" w:hAnsi="宋体" w:cs="宋体"/>
          <w:bCs/>
          <w:color w:val="000000"/>
          <w:sz w:val="24"/>
          <w:highlight w:val="none"/>
          <w:lang w:val="zh-CN"/>
        </w:rPr>
      </w:pPr>
    </w:p>
    <w:p w14:paraId="6D1C487F">
      <w:pPr>
        <w:autoSpaceDE w:val="0"/>
        <w:autoSpaceDN w:val="0"/>
        <w:adjustRightInd w:val="0"/>
        <w:rPr>
          <w:rFonts w:hint="eastAsia" w:ascii="宋体" w:hAnsi="宋体" w:cs="宋体"/>
          <w:bCs/>
          <w:color w:val="000000"/>
          <w:sz w:val="24"/>
          <w:highlight w:val="none"/>
          <w:lang w:val="zh-CN"/>
        </w:rPr>
      </w:pPr>
    </w:p>
    <w:p w14:paraId="46EBD7D8">
      <w:pPr>
        <w:autoSpaceDE w:val="0"/>
        <w:autoSpaceDN w:val="0"/>
        <w:adjustRightInd w:val="0"/>
        <w:jc w:val="center"/>
        <w:rPr>
          <w:rFonts w:hint="eastAsia" w:ascii="宋体" w:hAnsi="宋体" w:cs="宋体"/>
          <w:bCs/>
          <w:color w:val="000000"/>
          <w:sz w:val="32"/>
          <w:szCs w:val="32"/>
          <w:highlight w:val="none"/>
          <w:lang w:val="zh-CN"/>
        </w:rPr>
      </w:pPr>
      <w:r>
        <w:rPr>
          <w:rFonts w:hint="eastAsia" w:ascii="宋体" w:hAnsi="宋体" w:cs="宋体"/>
          <w:bCs/>
          <w:color w:val="000000"/>
          <w:sz w:val="30"/>
          <w:szCs w:val="30"/>
          <w:highlight w:val="none"/>
          <w:lang w:val="zh-CN"/>
        </w:rPr>
        <w:br w:type="page"/>
      </w:r>
      <w:r>
        <w:rPr>
          <w:rFonts w:hint="eastAsia" w:ascii="宋体" w:hAnsi="宋体" w:cs="宋体"/>
          <w:bCs/>
          <w:color w:val="000000"/>
          <w:sz w:val="30"/>
          <w:szCs w:val="30"/>
          <w:highlight w:val="none"/>
          <w:lang w:val="zh-CN"/>
        </w:rPr>
        <w:t xml:space="preserve">二、法定代表人身份证明书及法定代表人授权委托书 </w:t>
      </w:r>
    </w:p>
    <w:p w14:paraId="319F8813">
      <w:pPr>
        <w:autoSpaceDE w:val="0"/>
        <w:autoSpaceDN w:val="0"/>
        <w:adjustRightInd w:val="0"/>
        <w:ind w:firstLine="480"/>
        <w:rPr>
          <w:rFonts w:hint="eastAsia" w:ascii="宋体" w:hAnsi="宋体" w:cs="宋体"/>
          <w:bCs/>
          <w:color w:val="000000"/>
          <w:sz w:val="32"/>
          <w:szCs w:val="32"/>
          <w:highlight w:val="none"/>
          <w:lang w:val="zh-CN"/>
        </w:rPr>
      </w:pPr>
    </w:p>
    <w:p w14:paraId="00B94AF6">
      <w:pPr>
        <w:pStyle w:val="73"/>
        <w:numPr>
          <w:ilvl w:val="0"/>
          <w:numId w:val="23"/>
        </w:numPr>
        <w:rPr>
          <w:rFonts w:hint="eastAsia" w:eastAsia="宋体"/>
          <w:bCs/>
          <w:sz w:val="28"/>
          <w:szCs w:val="28"/>
          <w:highlight w:val="none"/>
        </w:rPr>
      </w:pPr>
      <w:r>
        <w:rPr>
          <w:rFonts w:hint="eastAsia" w:eastAsia="宋体"/>
          <w:bCs/>
          <w:sz w:val="28"/>
          <w:szCs w:val="28"/>
          <w:highlight w:val="none"/>
        </w:rPr>
        <w:t>法定代表人身份证明书</w:t>
      </w:r>
    </w:p>
    <w:p w14:paraId="57A66607">
      <w:pPr>
        <w:pStyle w:val="73"/>
        <w:ind w:left="2380"/>
        <w:rPr>
          <w:rFonts w:hint="eastAsia" w:eastAsia="宋体"/>
          <w:bCs/>
          <w:sz w:val="28"/>
          <w:szCs w:val="28"/>
          <w:highlight w:val="none"/>
        </w:rPr>
      </w:pPr>
    </w:p>
    <w:p w14:paraId="32BE3F62">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投标人名称：</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351E93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单位性质：</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4F5416AC">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地址：</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A641328">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成立时间：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6AEB4AA4">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经营期限：</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2C4DCB6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姓名：</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性别：</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年龄：</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职务：</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_</w:t>
      </w:r>
    </w:p>
    <w:p w14:paraId="5F49A72B">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系</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（投标人名称）的法定代表人。</w:t>
      </w:r>
    </w:p>
    <w:p w14:paraId="20ADDE27">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特此证明。</w:t>
      </w:r>
    </w:p>
    <w:p w14:paraId="1A213EAF">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后附法定代表人身份证复印件</w:t>
      </w:r>
    </w:p>
    <w:p w14:paraId="12F57656">
      <w:pPr>
        <w:spacing w:line="360" w:lineRule="auto"/>
        <w:ind w:firstLine="420" w:firstLineChars="200"/>
        <w:rPr>
          <w:rFonts w:hint="eastAsia" w:ascii="新宋体" w:hAnsi="新宋体" w:eastAsia="新宋体" w:cs="新宋体"/>
          <w:szCs w:val="21"/>
          <w:highlight w:val="none"/>
        </w:rPr>
      </w:pPr>
    </w:p>
    <w:p w14:paraId="59502C11">
      <w:pPr>
        <w:spacing w:line="360" w:lineRule="auto"/>
        <w:ind w:firstLine="420" w:firstLineChars="200"/>
        <w:rPr>
          <w:rFonts w:hint="eastAsia" w:ascii="新宋体" w:hAnsi="新宋体" w:eastAsia="新宋体" w:cs="新宋体"/>
          <w:szCs w:val="21"/>
          <w:highlight w:val="none"/>
        </w:rPr>
      </w:pPr>
    </w:p>
    <w:p w14:paraId="246B4F1D">
      <w:pPr>
        <w:spacing w:line="360" w:lineRule="auto"/>
        <w:ind w:firstLine="420" w:firstLineChars="200"/>
        <w:rPr>
          <w:rFonts w:hint="eastAsia" w:ascii="新宋体" w:hAnsi="新宋体" w:eastAsia="新宋体" w:cs="新宋体"/>
          <w:szCs w:val="21"/>
          <w:highlight w:val="none"/>
        </w:rPr>
      </w:pPr>
    </w:p>
    <w:p w14:paraId="2A8692A2">
      <w:pPr>
        <w:spacing w:line="360" w:lineRule="auto"/>
        <w:rPr>
          <w:rFonts w:hint="eastAsia" w:ascii="新宋体" w:hAnsi="新宋体" w:eastAsia="新宋体" w:cs="新宋体"/>
          <w:sz w:val="24"/>
          <w:highlight w:val="none"/>
        </w:rPr>
      </w:pPr>
    </w:p>
    <w:p w14:paraId="10D0B2E1">
      <w:pPr>
        <w:spacing w:line="360" w:lineRule="auto"/>
        <w:ind w:firstLine="480" w:firstLineChars="200"/>
        <w:rPr>
          <w:rFonts w:hint="eastAsia" w:ascii="新宋体" w:hAnsi="新宋体" w:eastAsia="新宋体" w:cs="新宋体"/>
          <w:sz w:val="24"/>
          <w:highlight w:val="none"/>
        </w:rPr>
      </w:pPr>
    </w:p>
    <w:p w14:paraId="1F52E408">
      <w:pPr>
        <w:spacing w:line="360" w:lineRule="auto"/>
        <w:jc w:val="right"/>
        <w:rPr>
          <w:rFonts w:hint="eastAsia" w:ascii="新宋体" w:hAnsi="新宋体" w:eastAsia="新宋体" w:cs="新宋体"/>
          <w:sz w:val="24"/>
          <w:highlight w:val="none"/>
        </w:rPr>
      </w:pPr>
    </w:p>
    <w:p w14:paraId="392C951E">
      <w:pPr>
        <w:spacing w:line="360" w:lineRule="auto"/>
        <w:jc w:val="right"/>
        <w:rPr>
          <w:rFonts w:hint="eastAsia" w:ascii="新宋体" w:hAnsi="新宋体" w:eastAsia="新宋体" w:cs="新宋体"/>
          <w:sz w:val="24"/>
          <w:highlight w:val="none"/>
        </w:rPr>
      </w:pPr>
    </w:p>
    <w:p w14:paraId="489B017F">
      <w:pPr>
        <w:spacing w:line="360" w:lineRule="auto"/>
        <w:jc w:val="right"/>
        <w:rPr>
          <w:rFonts w:hint="eastAsia" w:ascii="新宋体" w:hAnsi="新宋体" w:eastAsia="新宋体" w:cs="新宋体"/>
          <w:szCs w:val="21"/>
          <w:highlight w:val="none"/>
        </w:rPr>
      </w:pPr>
      <w:r>
        <w:rPr>
          <w:rFonts w:hint="eastAsia" w:ascii="新宋体" w:hAnsi="新宋体" w:eastAsia="新宋体" w:cs="新宋体"/>
          <w:szCs w:val="21"/>
          <w:highlight w:val="none"/>
        </w:rPr>
        <w:t>投标人：</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（盖单位公章）</w:t>
      </w:r>
    </w:p>
    <w:p w14:paraId="5294D215">
      <w:pPr>
        <w:spacing w:line="360" w:lineRule="auto"/>
        <w:ind w:firstLine="4515" w:firstLineChars="2150"/>
        <w:jc w:val="right"/>
        <w:rPr>
          <w:rFonts w:hint="eastAsia" w:ascii="新宋体" w:hAnsi="新宋体" w:eastAsia="新宋体" w:cs="新宋体"/>
          <w:szCs w:val="21"/>
          <w:highlight w:val="none"/>
          <w:u w:val="single"/>
        </w:rPr>
      </w:pPr>
    </w:p>
    <w:p w14:paraId="4BE10052">
      <w:pPr>
        <w:spacing w:line="360" w:lineRule="auto"/>
        <w:ind w:right="1200"/>
        <w:rPr>
          <w:rFonts w:hint="eastAsia" w:ascii="新宋体" w:hAnsi="新宋体" w:eastAsia="新宋体" w:cs="新宋体"/>
          <w:szCs w:val="21"/>
          <w:highlight w:val="none"/>
        </w:rPr>
      </w:pPr>
      <w:r>
        <w:rPr>
          <w:rFonts w:hint="eastAsia" w:ascii="新宋体" w:hAnsi="新宋体" w:eastAsia="新宋体" w:cs="新宋体"/>
          <w:szCs w:val="21"/>
          <w:highlight w:val="none"/>
        </w:rPr>
        <w:t xml:space="preserve">                                     </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1D52252E">
      <w:pPr>
        <w:pStyle w:val="73"/>
        <w:ind w:left="2380"/>
        <w:rPr>
          <w:rFonts w:eastAsia="宋体"/>
          <w:bCs/>
          <w:sz w:val="28"/>
          <w:szCs w:val="28"/>
          <w:highlight w:val="none"/>
        </w:rPr>
      </w:pPr>
    </w:p>
    <w:p w14:paraId="15949A11">
      <w:pPr>
        <w:pStyle w:val="73"/>
        <w:ind w:left="2380"/>
        <w:rPr>
          <w:rFonts w:eastAsia="宋体"/>
          <w:bCs/>
          <w:sz w:val="28"/>
          <w:szCs w:val="28"/>
          <w:highlight w:val="none"/>
        </w:rPr>
      </w:pPr>
    </w:p>
    <w:p w14:paraId="398336A2">
      <w:pPr>
        <w:pStyle w:val="73"/>
        <w:ind w:left="2380"/>
        <w:rPr>
          <w:rFonts w:eastAsia="宋体"/>
          <w:bCs/>
          <w:sz w:val="28"/>
          <w:szCs w:val="28"/>
          <w:highlight w:val="none"/>
        </w:rPr>
      </w:pPr>
    </w:p>
    <w:p w14:paraId="27D52860">
      <w:pPr>
        <w:pStyle w:val="73"/>
        <w:ind w:left="2380"/>
        <w:rPr>
          <w:rFonts w:eastAsia="宋体"/>
          <w:bCs/>
          <w:sz w:val="28"/>
          <w:szCs w:val="28"/>
          <w:highlight w:val="none"/>
        </w:rPr>
      </w:pPr>
    </w:p>
    <w:p w14:paraId="1CADA669">
      <w:pPr>
        <w:pStyle w:val="73"/>
        <w:ind w:left="2380"/>
        <w:rPr>
          <w:rFonts w:eastAsia="宋体"/>
          <w:bCs/>
          <w:sz w:val="28"/>
          <w:szCs w:val="28"/>
          <w:highlight w:val="none"/>
        </w:rPr>
      </w:pPr>
    </w:p>
    <w:p w14:paraId="6778CC43">
      <w:pPr>
        <w:pStyle w:val="73"/>
        <w:ind w:left="2380"/>
        <w:rPr>
          <w:rFonts w:eastAsia="宋体"/>
          <w:bCs/>
          <w:sz w:val="28"/>
          <w:szCs w:val="28"/>
          <w:highlight w:val="none"/>
        </w:rPr>
      </w:pPr>
    </w:p>
    <w:p w14:paraId="03EFB3C4">
      <w:pPr>
        <w:pStyle w:val="73"/>
        <w:ind w:left="2380"/>
        <w:rPr>
          <w:rFonts w:eastAsia="宋体"/>
          <w:bCs/>
          <w:sz w:val="28"/>
          <w:szCs w:val="28"/>
          <w:highlight w:val="none"/>
        </w:rPr>
      </w:pPr>
    </w:p>
    <w:p w14:paraId="1D0953AF">
      <w:pPr>
        <w:pStyle w:val="73"/>
        <w:ind w:left="2380"/>
        <w:rPr>
          <w:rFonts w:eastAsia="宋体"/>
          <w:bCs/>
          <w:sz w:val="28"/>
          <w:szCs w:val="28"/>
          <w:highlight w:val="none"/>
        </w:rPr>
      </w:pPr>
    </w:p>
    <w:p w14:paraId="4B20A577">
      <w:pPr>
        <w:pStyle w:val="73"/>
        <w:ind w:left="2380"/>
        <w:rPr>
          <w:rFonts w:eastAsia="宋体"/>
          <w:bCs/>
          <w:sz w:val="28"/>
          <w:szCs w:val="28"/>
          <w:highlight w:val="none"/>
        </w:rPr>
      </w:pPr>
    </w:p>
    <w:p w14:paraId="390DCC8E">
      <w:pPr>
        <w:pStyle w:val="73"/>
        <w:ind w:left="2380"/>
        <w:rPr>
          <w:rFonts w:eastAsia="宋体"/>
          <w:bCs/>
          <w:sz w:val="28"/>
          <w:szCs w:val="28"/>
          <w:highlight w:val="none"/>
        </w:rPr>
      </w:pPr>
    </w:p>
    <w:p w14:paraId="3A14814A">
      <w:pPr>
        <w:pStyle w:val="73"/>
        <w:ind w:left="2380"/>
        <w:rPr>
          <w:rFonts w:eastAsia="宋体"/>
          <w:bCs/>
          <w:sz w:val="28"/>
          <w:szCs w:val="28"/>
          <w:highlight w:val="none"/>
        </w:rPr>
      </w:pPr>
    </w:p>
    <w:p w14:paraId="7CD0DE5E">
      <w:pPr>
        <w:pStyle w:val="73"/>
        <w:numPr>
          <w:ilvl w:val="0"/>
          <w:numId w:val="23"/>
        </w:numPr>
        <w:rPr>
          <w:rFonts w:hint="eastAsia" w:eastAsia="宋体"/>
          <w:bCs/>
          <w:sz w:val="28"/>
          <w:szCs w:val="28"/>
          <w:highlight w:val="none"/>
        </w:rPr>
      </w:pPr>
      <w:r>
        <w:rPr>
          <w:rFonts w:hint="eastAsia" w:eastAsia="宋体"/>
          <w:bCs/>
          <w:sz w:val="28"/>
          <w:szCs w:val="28"/>
          <w:highlight w:val="none"/>
        </w:rPr>
        <w:br w:type="page"/>
      </w:r>
      <w:r>
        <w:rPr>
          <w:rFonts w:hint="eastAsia" w:eastAsia="宋体"/>
          <w:bCs/>
          <w:sz w:val="28"/>
          <w:szCs w:val="28"/>
          <w:highlight w:val="none"/>
        </w:rPr>
        <w:t>法定代表人授权委托书</w:t>
      </w:r>
    </w:p>
    <w:p w14:paraId="7FC7F8FF">
      <w:pPr>
        <w:autoSpaceDE w:val="0"/>
        <w:autoSpaceDN w:val="0"/>
        <w:adjustRightInd w:val="0"/>
        <w:spacing w:line="360" w:lineRule="auto"/>
        <w:ind w:firstLine="480"/>
        <w:rPr>
          <w:rFonts w:hint="eastAsia" w:ascii="宋体" w:hAnsi="宋体" w:cs="宋体"/>
          <w:bCs/>
          <w:color w:val="000000"/>
          <w:szCs w:val="21"/>
          <w:highlight w:val="none"/>
          <w:lang w:val="zh-CN"/>
        </w:rPr>
      </w:pPr>
    </w:p>
    <w:p w14:paraId="148F298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本授权书声明：注册于</w:t>
      </w:r>
      <w:r>
        <w:rPr>
          <w:rFonts w:hint="eastAsia" w:ascii="宋体" w:hAnsi="宋体" w:cs="宋体"/>
          <w:bCs/>
          <w:color w:val="000000"/>
          <w:szCs w:val="21"/>
          <w:highlight w:val="none"/>
          <w:u w:val="single"/>
          <w:lang w:val="zh-CN"/>
        </w:rPr>
        <w:t xml:space="preserve">  （注册地点）   </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   （投标人名称）   </w:t>
      </w:r>
      <w:r>
        <w:rPr>
          <w:rFonts w:hint="eastAsia" w:ascii="宋体" w:hAnsi="宋体" w:cs="宋体"/>
          <w:bCs/>
          <w:color w:val="000000"/>
          <w:szCs w:val="21"/>
          <w:highlight w:val="none"/>
          <w:lang w:val="zh-CN"/>
        </w:rPr>
        <w:t>公司的</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u w:val="single"/>
          <w:lang w:val="zh-CN"/>
        </w:rPr>
        <w:t>（投标人法定代表人姓名、职务）</w:t>
      </w:r>
      <w:r>
        <w:rPr>
          <w:rFonts w:hint="eastAsia" w:ascii="宋体" w:hAnsi="宋体" w:cs="宋体"/>
          <w:bCs/>
          <w:color w:val="000000"/>
          <w:szCs w:val="21"/>
          <w:highlight w:val="none"/>
          <w:lang w:val="zh-CN"/>
        </w:rPr>
        <w:t>代表本公司授权</w:t>
      </w:r>
      <w:r>
        <w:rPr>
          <w:rFonts w:hint="eastAsia" w:ascii="宋体" w:hAnsi="宋体" w:cs="宋体"/>
          <w:bCs/>
          <w:color w:val="000000"/>
          <w:szCs w:val="21"/>
          <w:highlight w:val="none"/>
          <w:u w:val="single"/>
          <w:lang w:val="zh-CN"/>
        </w:rPr>
        <w:t>（被授权人单位名称）</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(被授权人姓名、职务)   </w:t>
      </w:r>
      <w:r>
        <w:rPr>
          <w:rFonts w:hint="eastAsia" w:ascii="宋体" w:hAnsi="宋体" w:cs="宋体"/>
          <w:bCs/>
          <w:color w:val="000000"/>
          <w:szCs w:val="21"/>
          <w:highlight w:val="none"/>
          <w:lang w:val="zh-CN"/>
        </w:rPr>
        <w:t>为本公司的合法代理人，就</w:t>
      </w:r>
      <w:r>
        <w:rPr>
          <w:rFonts w:hint="eastAsia" w:ascii="宋体" w:hAnsi="宋体" w:cs="宋体"/>
          <w:bCs/>
          <w:color w:val="000000"/>
          <w:szCs w:val="21"/>
          <w:highlight w:val="none"/>
          <w:u w:val="single"/>
          <w:lang w:val="zh-CN"/>
        </w:rPr>
        <w:t>（项目名称）</w:t>
      </w:r>
      <w:r>
        <w:rPr>
          <w:rFonts w:hint="eastAsia" w:ascii="宋体" w:hAnsi="宋体" w:cs="宋体"/>
          <w:bCs/>
          <w:color w:val="000000"/>
          <w:szCs w:val="21"/>
          <w:highlight w:val="none"/>
          <w:lang w:val="zh-CN"/>
        </w:rPr>
        <w:t>项目（编号为</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的投标以及合同的签约、执行、完成和保修等全权负责，以本公司名义处理一切与之有关的事务。代理人在投标、开标、评标、合同签订和履行过程中所签署的一切文件和处理的与之有关的一切事务，我均予以承认。代理人无转委托权。</w:t>
      </w:r>
    </w:p>
    <w:p w14:paraId="0A8A262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本授权书于</w:t>
      </w:r>
      <w:r>
        <w:rPr>
          <w:rFonts w:hint="eastAsia" w:ascii="宋体" w:hAnsi="宋体" w:cs="宋体"/>
          <w:bCs/>
          <w:color w:val="000000"/>
          <w:szCs w:val="21"/>
          <w:highlight w:val="none"/>
          <w:u w:val="single"/>
          <w:lang w:val="zh-CN"/>
        </w:rPr>
        <w:t xml:space="preserve">         年   月   日签字生效</w:t>
      </w:r>
      <w:r>
        <w:rPr>
          <w:rFonts w:hint="eastAsia" w:ascii="宋体" w:hAnsi="宋体" w:cs="宋体"/>
          <w:bCs/>
          <w:color w:val="000000"/>
          <w:szCs w:val="21"/>
          <w:highlight w:val="none"/>
          <w:lang w:val="zh-CN"/>
        </w:rPr>
        <w:t>，特此声明。</w:t>
      </w:r>
    </w:p>
    <w:p w14:paraId="5F4EB16E">
      <w:pPr>
        <w:autoSpaceDE w:val="0"/>
        <w:autoSpaceDN w:val="0"/>
        <w:adjustRightInd w:val="0"/>
        <w:spacing w:line="360" w:lineRule="auto"/>
        <w:ind w:firstLine="480"/>
        <w:rPr>
          <w:rFonts w:hint="eastAsia" w:ascii="宋体" w:hAnsi="宋体" w:cs="宋体"/>
          <w:bCs/>
          <w:color w:val="000000"/>
          <w:szCs w:val="21"/>
          <w:highlight w:val="none"/>
          <w:lang w:val="zh-CN"/>
        </w:rPr>
      </w:pPr>
    </w:p>
    <w:p w14:paraId="634779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7E4289D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地址：</w:t>
      </w:r>
    </w:p>
    <w:p w14:paraId="0014FAA6">
      <w:pPr>
        <w:autoSpaceDE w:val="0"/>
        <w:autoSpaceDN w:val="0"/>
        <w:adjustRightInd w:val="0"/>
        <w:spacing w:line="360" w:lineRule="auto"/>
        <w:ind w:firstLine="465"/>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授权人（法定代表人）签名：</w:t>
      </w:r>
    </w:p>
    <w:p w14:paraId="40CAE06C">
      <w:pPr>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被授权人（代理人）签名：</w:t>
      </w:r>
    </w:p>
    <w:p w14:paraId="6C4CE4F5">
      <w:pPr>
        <w:autoSpaceDE w:val="0"/>
        <w:autoSpaceDN w:val="0"/>
        <w:adjustRightInd w:val="0"/>
        <w:spacing w:line="360" w:lineRule="auto"/>
        <w:ind w:firstLine="495"/>
        <w:rPr>
          <w:rFonts w:hint="eastAsia" w:ascii="宋体" w:hAnsi="宋体" w:cs="宋体"/>
          <w:b/>
          <w:color w:val="000000"/>
          <w:szCs w:val="21"/>
          <w:highlight w:val="none"/>
          <w:lang w:val="zh-CN"/>
        </w:rPr>
      </w:pPr>
    </w:p>
    <w:p w14:paraId="77D03E9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后附委托代理人身份证复印件。</w:t>
      </w:r>
    </w:p>
    <w:p w14:paraId="070EBC48">
      <w:pPr>
        <w:autoSpaceDE w:val="0"/>
        <w:autoSpaceDN w:val="0"/>
        <w:adjustRightInd w:val="0"/>
        <w:rPr>
          <w:rFonts w:hint="eastAsia" w:ascii="宋体" w:hAnsi="宋体" w:cs="宋体"/>
          <w:bCs/>
          <w:color w:val="000000"/>
          <w:sz w:val="24"/>
          <w:highlight w:val="none"/>
          <w:lang w:val="zh-CN"/>
        </w:rPr>
      </w:pPr>
    </w:p>
    <w:p w14:paraId="7C00E2BA">
      <w:pPr>
        <w:autoSpaceDE w:val="0"/>
        <w:autoSpaceDN w:val="0"/>
        <w:adjustRightInd w:val="0"/>
        <w:outlineLvl w:val="0"/>
        <w:rPr>
          <w:rFonts w:hint="eastAsia" w:ascii="宋体" w:hAnsi="宋体" w:cs="宋体"/>
          <w:bCs/>
          <w:color w:val="000000"/>
          <w:sz w:val="24"/>
          <w:highlight w:val="none"/>
          <w:lang w:val="zh-CN"/>
        </w:rPr>
      </w:pPr>
    </w:p>
    <w:p w14:paraId="42CB2DAE">
      <w:pPr>
        <w:autoSpaceDE w:val="0"/>
        <w:autoSpaceDN w:val="0"/>
        <w:adjustRightInd w:val="0"/>
        <w:outlineLvl w:val="0"/>
        <w:rPr>
          <w:rFonts w:hint="eastAsia" w:ascii="宋体" w:hAnsi="宋体" w:cs="宋体"/>
          <w:bCs/>
          <w:color w:val="000000"/>
          <w:sz w:val="24"/>
          <w:highlight w:val="none"/>
          <w:lang w:val="zh-CN"/>
        </w:rPr>
      </w:pPr>
    </w:p>
    <w:p w14:paraId="3F78D37F">
      <w:pPr>
        <w:autoSpaceDE w:val="0"/>
        <w:autoSpaceDN w:val="0"/>
        <w:adjustRightInd w:val="0"/>
        <w:rPr>
          <w:rFonts w:hint="eastAsia" w:ascii="宋体" w:hAnsi="宋体" w:cs="宋体"/>
          <w:bCs/>
          <w:color w:val="000000"/>
          <w:sz w:val="24"/>
          <w:highlight w:val="none"/>
          <w:lang w:val="zh-CN"/>
        </w:rPr>
        <w:sectPr>
          <w:footerReference r:id="rId8" w:type="default"/>
          <w:footerReference r:id="rId9" w:type="even"/>
          <w:pgSz w:w="11906" w:h="16838"/>
          <w:pgMar w:top="1440" w:right="1752" w:bottom="1440" w:left="1797" w:header="851" w:footer="737" w:gutter="0"/>
          <w:cols w:space="720" w:num="1"/>
          <w:docGrid w:linePitch="490" w:charSpace="0"/>
        </w:sectPr>
      </w:pPr>
    </w:p>
    <w:p w14:paraId="1C33BCD9">
      <w:pPr>
        <w:autoSpaceDE w:val="0"/>
        <w:autoSpaceDN w:val="0"/>
        <w:adjustRightInd w:val="0"/>
        <w:spacing w:line="360" w:lineRule="auto"/>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三、开标一览表</w:t>
      </w:r>
    </w:p>
    <w:p w14:paraId="59FAED55">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项目名称：</w:t>
      </w:r>
      <w:r>
        <w:rPr>
          <w:rFonts w:hint="eastAsia" w:ascii="宋体" w:hAnsi="宋体" w:cs="宋体"/>
          <w:bCs/>
          <w:color w:val="000000"/>
          <w:szCs w:val="21"/>
          <w:highlight w:val="none"/>
        </w:rPr>
        <w:t xml:space="preserve"> </w:t>
      </w:r>
    </w:p>
    <w:p w14:paraId="49BC49DD">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项目编号：</w:t>
      </w:r>
    </w:p>
    <w:p w14:paraId="2D2F836B">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开标时间：</w:t>
      </w:r>
    </w:p>
    <w:tbl>
      <w:tblPr>
        <w:tblStyle w:val="38"/>
        <w:tblpPr w:leftFromText="180" w:rightFromText="180" w:vertAnchor="text" w:horzAnchor="margin" w:tblpXSpec="center" w:tblpY="304"/>
        <w:tblW w:w="9187" w:type="dxa"/>
        <w:tblInd w:w="0" w:type="dxa"/>
        <w:tblLayout w:type="fixed"/>
        <w:tblCellMar>
          <w:top w:w="0" w:type="dxa"/>
          <w:left w:w="108" w:type="dxa"/>
          <w:bottom w:w="0" w:type="dxa"/>
          <w:right w:w="108" w:type="dxa"/>
        </w:tblCellMar>
      </w:tblPr>
      <w:tblGrid>
        <w:gridCol w:w="711"/>
        <w:gridCol w:w="2188"/>
        <w:gridCol w:w="1134"/>
        <w:gridCol w:w="992"/>
        <w:gridCol w:w="2081"/>
        <w:gridCol w:w="2081"/>
      </w:tblGrid>
      <w:tr w14:paraId="0676ECA9">
        <w:tblPrEx>
          <w:tblCellMar>
            <w:top w:w="0" w:type="dxa"/>
            <w:left w:w="108" w:type="dxa"/>
            <w:bottom w:w="0" w:type="dxa"/>
            <w:right w:w="108" w:type="dxa"/>
          </w:tblCellMar>
        </w:tblPrEx>
        <w:trPr>
          <w:trHeight w:val="1405" w:hRule="atLeast"/>
        </w:trPr>
        <w:tc>
          <w:tcPr>
            <w:tcW w:w="711" w:type="dxa"/>
            <w:tcBorders>
              <w:top w:val="single" w:color="auto" w:sz="4" w:space="0"/>
              <w:left w:val="single" w:color="auto" w:sz="4" w:space="0"/>
              <w:bottom w:val="nil"/>
              <w:right w:val="single" w:color="auto" w:sz="4" w:space="0"/>
            </w:tcBorders>
            <w:noWrap w:val="0"/>
            <w:vAlign w:val="center"/>
          </w:tcPr>
          <w:p w14:paraId="42D1DFCE">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88" w:type="dxa"/>
            <w:tcBorders>
              <w:top w:val="single" w:color="auto" w:sz="4" w:space="0"/>
              <w:left w:val="single" w:color="auto" w:sz="4" w:space="0"/>
              <w:bottom w:val="nil"/>
              <w:right w:val="single" w:color="auto" w:sz="4" w:space="0"/>
            </w:tcBorders>
            <w:noWrap w:val="0"/>
            <w:vAlign w:val="center"/>
          </w:tcPr>
          <w:p w14:paraId="2863FEF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投标人名称</w:t>
            </w:r>
          </w:p>
        </w:tc>
        <w:tc>
          <w:tcPr>
            <w:tcW w:w="1134" w:type="dxa"/>
            <w:tcBorders>
              <w:top w:val="single" w:color="auto" w:sz="4" w:space="0"/>
              <w:left w:val="single" w:color="auto" w:sz="4" w:space="0"/>
              <w:bottom w:val="nil"/>
              <w:right w:val="single" w:color="auto" w:sz="4" w:space="0"/>
            </w:tcBorders>
            <w:noWrap w:val="0"/>
            <w:vAlign w:val="center"/>
          </w:tcPr>
          <w:p w14:paraId="02B5CC46">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投标报价</w:t>
            </w:r>
          </w:p>
          <w:p w14:paraId="0E60B5C5">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（万元）</w:t>
            </w:r>
          </w:p>
        </w:tc>
        <w:tc>
          <w:tcPr>
            <w:tcW w:w="992" w:type="dxa"/>
            <w:tcBorders>
              <w:top w:val="single" w:color="auto" w:sz="4" w:space="0"/>
              <w:left w:val="single" w:color="auto" w:sz="4" w:space="0"/>
              <w:right w:val="single" w:color="000000" w:sz="6" w:space="0"/>
            </w:tcBorders>
            <w:noWrap w:val="0"/>
            <w:vAlign w:val="center"/>
          </w:tcPr>
          <w:p w14:paraId="2C0D87E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合同履行期限</w:t>
            </w:r>
          </w:p>
        </w:tc>
        <w:tc>
          <w:tcPr>
            <w:tcW w:w="2081" w:type="dxa"/>
            <w:tcBorders>
              <w:top w:val="single" w:color="000000" w:sz="6" w:space="0"/>
              <w:left w:val="single" w:color="000000" w:sz="6" w:space="0"/>
              <w:right w:val="single" w:color="000000" w:sz="6" w:space="0"/>
            </w:tcBorders>
            <w:noWrap w:val="0"/>
            <w:vAlign w:val="center"/>
          </w:tcPr>
          <w:p w14:paraId="7D43C2B9">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服务承诺（有/无）</w:t>
            </w:r>
          </w:p>
        </w:tc>
        <w:tc>
          <w:tcPr>
            <w:tcW w:w="2081" w:type="dxa"/>
            <w:tcBorders>
              <w:top w:val="single" w:color="000000" w:sz="6" w:space="0"/>
              <w:left w:val="single" w:color="000000" w:sz="6" w:space="0"/>
              <w:right w:val="single" w:color="000000" w:sz="6" w:space="0"/>
            </w:tcBorders>
            <w:noWrap w:val="0"/>
            <w:vAlign w:val="center"/>
          </w:tcPr>
          <w:p w14:paraId="5ECAB97B">
            <w:pPr>
              <w:keepNext w:val="0"/>
              <w:keepLines w:val="0"/>
              <w:suppressLineNumbers w:val="0"/>
              <w:autoSpaceDE w:val="0"/>
              <w:autoSpaceDN w:val="0"/>
              <w:adjustRightInd w:val="0"/>
              <w:spacing w:before="0" w:beforeAutospacing="0" w:after="0" w:afterAutospacing="0"/>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服务质量</w:t>
            </w:r>
          </w:p>
        </w:tc>
      </w:tr>
      <w:tr w14:paraId="2A2C08EF">
        <w:tblPrEx>
          <w:tblCellMar>
            <w:top w:w="0" w:type="dxa"/>
            <w:left w:w="108" w:type="dxa"/>
            <w:bottom w:w="0" w:type="dxa"/>
            <w:right w:w="108" w:type="dxa"/>
          </w:tblCellMar>
        </w:tblPrEx>
        <w:trPr>
          <w:trHeight w:val="1435"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7BC16EE7">
            <w:pPr>
              <w:keepNext w:val="0"/>
              <w:keepLines w:val="0"/>
              <w:suppressLineNumbers w:val="0"/>
              <w:autoSpaceDE w:val="0"/>
              <w:autoSpaceDN w:val="0"/>
              <w:adjustRightInd w:val="0"/>
              <w:spacing w:before="0" w:beforeAutospacing="0" w:after="0" w:afterAutospacing="0"/>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51589C1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D1443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992" w:type="dxa"/>
            <w:tcBorders>
              <w:top w:val="single" w:color="auto" w:sz="4" w:space="0"/>
              <w:left w:val="single" w:color="auto" w:sz="4" w:space="0"/>
              <w:bottom w:val="single" w:color="auto" w:sz="4" w:space="0"/>
              <w:right w:val="single" w:color="000000" w:sz="6" w:space="0"/>
            </w:tcBorders>
            <w:noWrap w:val="0"/>
            <w:vAlign w:val="center"/>
          </w:tcPr>
          <w:p w14:paraId="7DE8660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5CE512B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6D9048F8">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r>
    </w:tbl>
    <w:p w14:paraId="4B497670">
      <w:pPr>
        <w:autoSpaceDE w:val="0"/>
        <w:autoSpaceDN w:val="0"/>
        <w:adjustRightInd w:val="0"/>
        <w:spacing w:line="360" w:lineRule="auto"/>
        <w:rPr>
          <w:rFonts w:hint="eastAsia" w:ascii="宋体" w:hAnsi="宋体" w:cs="宋体"/>
          <w:bCs/>
          <w:color w:val="000000"/>
          <w:sz w:val="24"/>
          <w:highlight w:val="none"/>
        </w:rPr>
      </w:pPr>
    </w:p>
    <w:p w14:paraId="3041FA2A">
      <w:pPr>
        <w:autoSpaceDE w:val="0"/>
        <w:autoSpaceDN w:val="0"/>
        <w:adjustRightInd w:val="0"/>
        <w:spacing w:line="360" w:lineRule="auto"/>
        <w:jc w:val="left"/>
        <w:rPr>
          <w:rFonts w:hint="eastAsia" w:ascii="宋体" w:hAnsi="宋体" w:cs="宋体"/>
          <w:b/>
          <w:color w:val="000000"/>
          <w:szCs w:val="21"/>
          <w:highlight w:val="none"/>
        </w:rPr>
      </w:pPr>
      <w:r>
        <w:rPr>
          <w:rFonts w:hint="eastAsia" w:ascii="宋体" w:hAnsi="宋体" w:cs="宋体"/>
          <w:b/>
          <w:color w:val="000000"/>
          <w:szCs w:val="21"/>
          <w:highlight w:val="none"/>
        </w:rPr>
        <w:t>投标人：   （盖章）                         法定代表人</w:t>
      </w:r>
      <w:r>
        <w:rPr>
          <w:rFonts w:hint="eastAsia" w:ascii="宋体" w:hAnsi="宋体" w:cs="宋体"/>
          <w:b/>
          <w:bCs/>
          <w:color w:val="000000"/>
          <w:szCs w:val="21"/>
          <w:highlight w:val="none"/>
          <w:lang w:val="zh-CN"/>
        </w:rPr>
        <w:t>或授权代理人</w:t>
      </w:r>
      <w:r>
        <w:rPr>
          <w:rFonts w:hint="eastAsia" w:ascii="宋体" w:hAnsi="宋体" w:cs="宋体"/>
          <w:b/>
          <w:color w:val="000000"/>
          <w:szCs w:val="21"/>
          <w:highlight w:val="none"/>
        </w:rPr>
        <w:t>：（签字或盖章）                 日    期：</w:t>
      </w:r>
    </w:p>
    <w:p w14:paraId="774464D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rPr>
        <w:t>注：</w:t>
      </w:r>
    </w:p>
    <w:p w14:paraId="59719624">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1.“开标一览表”用于开标时唱标使用。</w:t>
      </w:r>
    </w:p>
    <w:p w14:paraId="25883A78">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rPr>
        <w:t>2</w:t>
      </w:r>
      <w:r>
        <w:rPr>
          <w:rFonts w:hint="eastAsia" w:ascii="宋体" w:hAnsi="宋体" w:cs="宋体"/>
          <w:bCs/>
          <w:color w:val="000000"/>
          <w:szCs w:val="21"/>
          <w:highlight w:val="none"/>
          <w:lang w:val="zh-CN"/>
        </w:rPr>
        <w:t>、“开标一览表”中各个栏目都必须完整、准确填写。开标时，“开标一览表”的所有内容都不允许补充或者修改，有明显计算错误的除外。</w:t>
      </w:r>
    </w:p>
    <w:p w14:paraId="684E5CC3">
      <w:pPr>
        <w:widowControl/>
        <w:tabs>
          <w:tab w:val="left" w:pos="525"/>
        </w:tabs>
        <w:autoSpaceDE w:val="0"/>
        <w:autoSpaceDN w:val="0"/>
        <w:spacing w:line="360" w:lineRule="auto"/>
        <w:ind w:right="893"/>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、投标货币为人民币。</w:t>
      </w:r>
    </w:p>
    <w:p w14:paraId="0BECF616">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、以上报价含整个服务期内发生的一切费用。</w:t>
      </w:r>
    </w:p>
    <w:p w14:paraId="0BCC236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E431E6F">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E410CA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0BE8F6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45ACF4C3">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1F6C04C">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3281844">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2060E0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2D73D419">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717B735">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F164B01">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DA1DA5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4DA33DF">
      <w:pPr>
        <w:pStyle w:val="19"/>
        <w:rPr>
          <w:rFonts w:hint="eastAsia" w:hAnsi="宋体" w:cs="宋体"/>
          <w:bCs/>
          <w:color w:val="000000"/>
          <w:highlight w:val="none"/>
          <w:lang w:val="zh-CN"/>
        </w:rPr>
      </w:pPr>
    </w:p>
    <w:p w14:paraId="276F08C5">
      <w:pPr>
        <w:pStyle w:val="19"/>
        <w:spacing w:line="360" w:lineRule="auto"/>
        <w:jc w:val="center"/>
        <w:rPr>
          <w:rFonts w:hint="eastAsia" w:hAnsi="宋体" w:cs="宋体"/>
          <w:color w:val="000000"/>
          <w:kern w:val="44"/>
          <w:sz w:val="30"/>
          <w:szCs w:val="30"/>
          <w:highlight w:val="none"/>
        </w:rPr>
      </w:pPr>
      <w:r>
        <w:rPr>
          <w:rFonts w:hint="eastAsia" w:hAnsi="宋体" w:cs="宋体"/>
          <w:color w:val="000000"/>
          <w:kern w:val="44"/>
          <w:sz w:val="30"/>
          <w:szCs w:val="30"/>
          <w:highlight w:val="none"/>
        </w:rPr>
        <w:t>四、</w:t>
      </w:r>
      <w:r>
        <w:rPr>
          <w:rFonts w:hint="eastAsia" w:hAnsi="宋体" w:cs="宋体"/>
          <w:color w:val="000000"/>
          <w:kern w:val="44"/>
          <w:sz w:val="30"/>
          <w:szCs w:val="30"/>
          <w:highlight w:val="none"/>
          <w:lang w:val="en-US" w:eastAsia="zh-CN"/>
        </w:rPr>
        <w:t>商务条款</w:t>
      </w:r>
      <w:r>
        <w:rPr>
          <w:rFonts w:hint="eastAsia" w:hAnsi="宋体" w:cs="宋体"/>
          <w:color w:val="000000"/>
          <w:kern w:val="44"/>
          <w:sz w:val="30"/>
          <w:szCs w:val="30"/>
          <w:highlight w:val="none"/>
        </w:rPr>
        <w:t>偏离表</w:t>
      </w:r>
    </w:p>
    <w:p w14:paraId="66FB594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项目名称：</w:t>
      </w:r>
    </w:p>
    <w:p w14:paraId="2839AED2">
      <w:pPr>
        <w:pStyle w:val="19"/>
        <w:rPr>
          <w:rFonts w:hint="eastAsia" w:hAnsi="宋体" w:cs="宋体"/>
          <w:bCs/>
          <w:color w:val="000000"/>
          <w:highlight w:val="none"/>
          <w:lang w:val="zh-CN"/>
        </w:rPr>
      </w:pPr>
      <w:r>
        <w:rPr>
          <w:rFonts w:hint="eastAsia" w:hAnsi="宋体" w:cs="宋体"/>
          <w:bCs/>
          <w:color w:val="000000"/>
          <w:highlight w:val="none"/>
          <w:lang w:val="zh-CN"/>
        </w:rPr>
        <w:t>项目编号：</w:t>
      </w:r>
    </w:p>
    <w:tbl>
      <w:tblPr>
        <w:tblStyle w:val="38"/>
        <w:tblpPr w:leftFromText="180" w:rightFromText="180" w:vertAnchor="text" w:horzAnchor="page" w:tblpX="1153" w:tblpY="189"/>
        <w:tblOverlap w:val="never"/>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952"/>
        <w:gridCol w:w="4008"/>
        <w:gridCol w:w="1704"/>
      </w:tblGrid>
      <w:tr w14:paraId="7BD8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noWrap w:val="0"/>
            <w:vAlign w:val="top"/>
          </w:tcPr>
          <w:p w14:paraId="5846D50C">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2952" w:type="dxa"/>
            <w:noWrap w:val="0"/>
            <w:vAlign w:val="center"/>
          </w:tcPr>
          <w:p w14:paraId="575EEEFE">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招标文件要求</w:t>
            </w:r>
          </w:p>
        </w:tc>
        <w:tc>
          <w:tcPr>
            <w:tcW w:w="4008" w:type="dxa"/>
            <w:noWrap w:val="0"/>
            <w:vAlign w:val="center"/>
          </w:tcPr>
          <w:p w14:paraId="2C48B5C6">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投标文件应答</w:t>
            </w:r>
          </w:p>
        </w:tc>
        <w:tc>
          <w:tcPr>
            <w:tcW w:w="1704" w:type="dxa"/>
            <w:noWrap w:val="0"/>
            <w:vAlign w:val="center"/>
          </w:tcPr>
          <w:p w14:paraId="2D4057F1">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是否正偏离</w:t>
            </w:r>
          </w:p>
        </w:tc>
      </w:tr>
      <w:tr w14:paraId="791D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ED8A1CA">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2952" w:type="dxa"/>
            <w:noWrap w:val="0"/>
            <w:vAlign w:val="top"/>
          </w:tcPr>
          <w:p w14:paraId="03DAD9E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125D91F">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088DB019">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22B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2837C1FB">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2952" w:type="dxa"/>
            <w:noWrap w:val="0"/>
            <w:vAlign w:val="top"/>
          </w:tcPr>
          <w:p w14:paraId="76F222E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2B827145">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5C56998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1377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5B5409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2952" w:type="dxa"/>
            <w:noWrap w:val="0"/>
            <w:vAlign w:val="top"/>
          </w:tcPr>
          <w:p w14:paraId="7A07087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58E2F7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3DAE4CC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09C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8069A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2952" w:type="dxa"/>
            <w:noWrap w:val="0"/>
            <w:vAlign w:val="top"/>
          </w:tcPr>
          <w:p w14:paraId="368E772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33C0BE27">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7B71489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bl>
    <w:p w14:paraId="7F871DF6">
      <w:pPr>
        <w:rPr>
          <w:rFonts w:hint="eastAsia" w:ascii="宋体" w:hAnsi="宋体" w:cs="宋体"/>
          <w:b/>
          <w:bCs/>
          <w:color w:val="000000"/>
          <w:szCs w:val="21"/>
          <w:highlight w:val="none"/>
        </w:rPr>
      </w:pPr>
      <w:r>
        <w:rPr>
          <w:rFonts w:hint="eastAsia" w:ascii="宋体" w:hAnsi="宋体" w:cs="宋体"/>
          <w:b/>
          <w:bCs/>
          <w:color w:val="000000"/>
          <w:szCs w:val="21"/>
          <w:highlight w:val="none"/>
        </w:rPr>
        <w:t>注：投标人所应答条款，如有偏离，应将偏离项在此表中列出。如无偏离，视为完全响应招标文件要求，无需列出，此表填“无偏离，完全响应招标文件要求”。</w:t>
      </w:r>
    </w:p>
    <w:p w14:paraId="7F185389">
      <w:pPr>
        <w:rPr>
          <w:rFonts w:hint="eastAsia" w:ascii="宋体" w:hAnsi="宋体" w:cs="宋体"/>
          <w:color w:val="000000"/>
          <w:szCs w:val="21"/>
          <w:highlight w:val="none"/>
        </w:rPr>
      </w:pPr>
    </w:p>
    <w:p w14:paraId="26314CC3">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投标人（盖章）：         </w:t>
      </w:r>
    </w:p>
    <w:p w14:paraId="28480A66">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法定代表人或授权代理人（盖章或签字）：              日期：</w:t>
      </w:r>
    </w:p>
    <w:p w14:paraId="5253D9E3">
      <w:pPr>
        <w:rPr>
          <w:rFonts w:hint="eastAsia" w:ascii="宋体" w:hAnsi="宋体" w:cs="宋体"/>
          <w:color w:val="000000"/>
          <w:szCs w:val="21"/>
          <w:highlight w:val="none"/>
        </w:rPr>
      </w:pPr>
    </w:p>
    <w:p w14:paraId="44583429">
      <w:pPr>
        <w:autoSpaceDE w:val="0"/>
        <w:autoSpaceDN w:val="0"/>
        <w:adjustRightInd w:val="0"/>
        <w:rPr>
          <w:rFonts w:hint="eastAsia" w:ascii="宋体" w:hAnsi="宋体" w:cs="宋体"/>
          <w:bCs/>
          <w:color w:val="000000"/>
          <w:sz w:val="32"/>
          <w:szCs w:val="32"/>
          <w:highlight w:val="none"/>
          <w:lang w:val="zh-CN"/>
        </w:rPr>
      </w:pPr>
    </w:p>
    <w:p w14:paraId="4E54E942">
      <w:pPr>
        <w:autoSpaceDE w:val="0"/>
        <w:autoSpaceDN w:val="0"/>
        <w:adjustRightInd w:val="0"/>
        <w:rPr>
          <w:rFonts w:hint="eastAsia" w:ascii="宋体" w:hAnsi="宋体" w:cs="宋体"/>
          <w:bCs/>
          <w:color w:val="000000"/>
          <w:sz w:val="32"/>
          <w:szCs w:val="32"/>
          <w:highlight w:val="none"/>
          <w:lang w:val="zh-CN"/>
        </w:rPr>
      </w:pPr>
    </w:p>
    <w:p w14:paraId="5C4782D1">
      <w:pPr>
        <w:autoSpaceDE w:val="0"/>
        <w:autoSpaceDN w:val="0"/>
        <w:adjustRightInd w:val="0"/>
        <w:jc w:val="center"/>
        <w:rPr>
          <w:rFonts w:hint="eastAsia" w:ascii="宋体" w:hAnsi="宋体" w:cs="宋体"/>
          <w:bCs/>
          <w:color w:val="000000"/>
          <w:sz w:val="32"/>
          <w:szCs w:val="32"/>
          <w:highlight w:val="none"/>
          <w:lang w:val="zh-CN"/>
        </w:rPr>
      </w:pPr>
    </w:p>
    <w:p w14:paraId="03547455">
      <w:pPr>
        <w:autoSpaceDE w:val="0"/>
        <w:autoSpaceDN w:val="0"/>
        <w:adjustRightInd w:val="0"/>
        <w:jc w:val="center"/>
        <w:rPr>
          <w:rFonts w:hint="eastAsia" w:ascii="宋体" w:hAnsi="宋体" w:cs="宋体"/>
          <w:bCs/>
          <w:color w:val="000000"/>
          <w:sz w:val="32"/>
          <w:szCs w:val="32"/>
          <w:highlight w:val="none"/>
          <w:lang w:val="zh-CN"/>
        </w:rPr>
      </w:pPr>
    </w:p>
    <w:p w14:paraId="568D8159">
      <w:pPr>
        <w:autoSpaceDE w:val="0"/>
        <w:autoSpaceDN w:val="0"/>
        <w:adjustRightInd w:val="0"/>
        <w:jc w:val="center"/>
        <w:rPr>
          <w:rFonts w:hint="eastAsia" w:ascii="宋体" w:hAnsi="宋体" w:cs="宋体"/>
          <w:bCs/>
          <w:color w:val="000000"/>
          <w:sz w:val="32"/>
          <w:szCs w:val="32"/>
          <w:highlight w:val="none"/>
          <w:lang w:val="zh-CN"/>
        </w:rPr>
      </w:pPr>
    </w:p>
    <w:p w14:paraId="50CD140B">
      <w:pPr>
        <w:autoSpaceDE w:val="0"/>
        <w:autoSpaceDN w:val="0"/>
        <w:adjustRightInd w:val="0"/>
        <w:jc w:val="center"/>
        <w:rPr>
          <w:rFonts w:hint="eastAsia" w:ascii="宋体" w:hAnsi="宋体" w:cs="宋体"/>
          <w:bCs/>
          <w:color w:val="000000"/>
          <w:sz w:val="32"/>
          <w:szCs w:val="32"/>
          <w:highlight w:val="none"/>
          <w:lang w:val="zh-CN"/>
        </w:rPr>
      </w:pPr>
    </w:p>
    <w:p w14:paraId="4262E75F">
      <w:pPr>
        <w:autoSpaceDE w:val="0"/>
        <w:autoSpaceDN w:val="0"/>
        <w:adjustRightInd w:val="0"/>
        <w:jc w:val="center"/>
        <w:rPr>
          <w:rFonts w:hint="eastAsia" w:ascii="宋体" w:hAnsi="宋体" w:cs="宋体"/>
          <w:bCs/>
          <w:color w:val="000000"/>
          <w:sz w:val="32"/>
          <w:szCs w:val="32"/>
          <w:highlight w:val="none"/>
          <w:lang w:val="zh-CN"/>
        </w:rPr>
      </w:pPr>
    </w:p>
    <w:p w14:paraId="72A43369">
      <w:pPr>
        <w:autoSpaceDE w:val="0"/>
        <w:autoSpaceDN w:val="0"/>
        <w:adjustRightInd w:val="0"/>
        <w:jc w:val="center"/>
        <w:rPr>
          <w:rFonts w:hint="eastAsia" w:ascii="宋体" w:hAnsi="宋体" w:cs="宋体"/>
          <w:bCs/>
          <w:color w:val="000000"/>
          <w:sz w:val="32"/>
          <w:szCs w:val="32"/>
          <w:highlight w:val="none"/>
          <w:lang w:val="zh-CN"/>
        </w:rPr>
      </w:pPr>
    </w:p>
    <w:p w14:paraId="7B1D4407">
      <w:pPr>
        <w:autoSpaceDE w:val="0"/>
        <w:autoSpaceDN w:val="0"/>
        <w:adjustRightInd w:val="0"/>
        <w:rPr>
          <w:rFonts w:hint="eastAsia" w:ascii="宋体" w:hAnsi="宋体" w:cs="宋体"/>
          <w:bCs/>
          <w:color w:val="000000"/>
          <w:sz w:val="32"/>
          <w:szCs w:val="32"/>
          <w:highlight w:val="none"/>
          <w:lang w:val="zh-CN"/>
        </w:rPr>
      </w:pPr>
    </w:p>
    <w:p w14:paraId="4B86E050">
      <w:pPr>
        <w:autoSpaceDE w:val="0"/>
        <w:autoSpaceDN w:val="0"/>
        <w:adjustRightInd w:val="0"/>
        <w:rPr>
          <w:rFonts w:hint="eastAsia" w:ascii="宋体" w:hAnsi="宋体" w:cs="宋体"/>
          <w:bCs/>
          <w:color w:val="000000"/>
          <w:sz w:val="32"/>
          <w:szCs w:val="32"/>
          <w:highlight w:val="none"/>
          <w:lang w:val="zh-CN"/>
        </w:rPr>
      </w:pPr>
    </w:p>
    <w:p w14:paraId="6A1903A4">
      <w:pPr>
        <w:autoSpaceDE w:val="0"/>
        <w:autoSpaceDN w:val="0"/>
        <w:adjustRightInd w:val="0"/>
        <w:rPr>
          <w:rFonts w:hint="eastAsia" w:ascii="宋体" w:hAnsi="宋体" w:cs="宋体"/>
          <w:bCs/>
          <w:color w:val="000000"/>
          <w:sz w:val="32"/>
          <w:szCs w:val="32"/>
          <w:highlight w:val="none"/>
          <w:lang w:val="zh-CN"/>
        </w:rPr>
      </w:pPr>
    </w:p>
    <w:p w14:paraId="661CD517">
      <w:pPr>
        <w:autoSpaceDE w:val="0"/>
        <w:autoSpaceDN w:val="0"/>
        <w:adjustRightInd w:val="0"/>
        <w:rPr>
          <w:rFonts w:hint="eastAsia" w:ascii="宋体" w:hAnsi="宋体" w:cs="宋体"/>
          <w:bCs/>
          <w:color w:val="000000"/>
          <w:sz w:val="32"/>
          <w:szCs w:val="32"/>
          <w:highlight w:val="none"/>
          <w:lang w:val="zh-CN"/>
        </w:rPr>
      </w:pPr>
    </w:p>
    <w:p w14:paraId="7B333E9A">
      <w:pPr>
        <w:autoSpaceDE w:val="0"/>
        <w:autoSpaceDN w:val="0"/>
        <w:adjustRightInd w:val="0"/>
        <w:rPr>
          <w:rFonts w:hint="eastAsia" w:ascii="宋体" w:hAnsi="宋体" w:cs="宋体"/>
          <w:bCs/>
          <w:color w:val="000000"/>
          <w:sz w:val="32"/>
          <w:szCs w:val="32"/>
          <w:highlight w:val="none"/>
          <w:lang w:val="zh-CN"/>
        </w:rPr>
      </w:pPr>
    </w:p>
    <w:p w14:paraId="07191D4A">
      <w:pPr>
        <w:autoSpaceDE w:val="0"/>
        <w:autoSpaceDN w:val="0"/>
        <w:adjustRightInd w:val="0"/>
        <w:rPr>
          <w:rFonts w:hint="eastAsia" w:ascii="宋体" w:hAnsi="宋体" w:cs="宋体"/>
          <w:bCs/>
          <w:color w:val="000000"/>
          <w:sz w:val="32"/>
          <w:szCs w:val="32"/>
          <w:highlight w:val="none"/>
          <w:lang w:val="zh-CN"/>
        </w:rPr>
      </w:pPr>
    </w:p>
    <w:p w14:paraId="4CADC8C9">
      <w:pPr>
        <w:pStyle w:val="73"/>
        <w:rPr>
          <w:rFonts w:hint="eastAsia" w:eastAsia="宋体"/>
          <w:bCs/>
          <w:sz w:val="32"/>
          <w:szCs w:val="32"/>
          <w:highlight w:val="none"/>
          <w:lang w:val="zh-CN"/>
        </w:rPr>
      </w:pPr>
    </w:p>
    <w:p w14:paraId="7200EC84">
      <w:pPr>
        <w:pStyle w:val="73"/>
        <w:rPr>
          <w:rFonts w:hint="eastAsia" w:eastAsia="宋体"/>
          <w:bCs/>
          <w:sz w:val="32"/>
          <w:szCs w:val="32"/>
          <w:highlight w:val="none"/>
          <w:lang w:val="zh-CN"/>
        </w:rPr>
      </w:pPr>
    </w:p>
    <w:p w14:paraId="66794272">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五、投标人基本情况</w:t>
      </w:r>
    </w:p>
    <w:p w14:paraId="449E5B30">
      <w:pPr>
        <w:autoSpaceDE w:val="0"/>
        <w:autoSpaceDN w:val="0"/>
        <w:adjustRightInd w:val="0"/>
        <w:ind w:firstLine="435"/>
        <w:rPr>
          <w:rFonts w:hint="eastAsia" w:ascii="宋体" w:hAnsi="宋体" w:cs="宋体"/>
          <w:bCs/>
          <w:color w:val="000000"/>
          <w:szCs w:val="21"/>
          <w:highlight w:val="none"/>
          <w:lang w:val="zh-CN"/>
        </w:rPr>
      </w:pPr>
    </w:p>
    <w:tbl>
      <w:tblPr>
        <w:tblStyle w:val="38"/>
        <w:tblpPr w:leftFromText="180" w:rightFromText="180" w:vertAnchor="page" w:horzAnchor="margin" w:tblpY="2581"/>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898"/>
        <w:gridCol w:w="899"/>
        <w:gridCol w:w="1258"/>
        <w:gridCol w:w="180"/>
        <w:gridCol w:w="343"/>
        <w:gridCol w:w="1094"/>
        <w:gridCol w:w="360"/>
        <w:gridCol w:w="1200"/>
        <w:gridCol w:w="884"/>
      </w:tblGrid>
      <w:tr w14:paraId="7DA3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4C222E6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w:t>
            </w:r>
          </w:p>
        </w:tc>
        <w:tc>
          <w:tcPr>
            <w:tcW w:w="7116" w:type="dxa"/>
            <w:gridSpan w:val="9"/>
            <w:noWrap w:val="0"/>
            <w:vAlign w:val="center"/>
          </w:tcPr>
          <w:p w14:paraId="0D82C3E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10B0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001ED70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注册地址</w:t>
            </w:r>
          </w:p>
        </w:tc>
        <w:tc>
          <w:tcPr>
            <w:tcW w:w="3578" w:type="dxa"/>
            <w:gridSpan w:val="5"/>
            <w:noWrap w:val="0"/>
            <w:vAlign w:val="center"/>
          </w:tcPr>
          <w:p w14:paraId="29D7B29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269F7B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邮政编码</w:t>
            </w:r>
          </w:p>
        </w:tc>
        <w:tc>
          <w:tcPr>
            <w:tcW w:w="2444" w:type="dxa"/>
            <w:gridSpan w:val="3"/>
            <w:noWrap w:val="0"/>
            <w:vAlign w:val="center"/>
          </w:tcPr>
          <w:p w14:paraId="6615EB9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EEC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vMerge w:val="restart"/>
            <w:noWrap w:val="0"/>
            <w:vAlign w:val="center"/>
          </w:tcPr>
          <w:p w14:paraId="5F14EE0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联系方式</w:t>
            </w:r>
          </w:p>
        </w:tc>
        <w:tc>
          <w:tcPr>
            <w:tcW w:w="898" w:type="dxa"/>
            <w:noWrap w:val="0"/>
            <w:vAlign w:val="center"/>
          </w:tcPr>
          <w:p w14:paraId="1E0EDF4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联系人</w:t>
            </w:r>
          </w:p>
        </w:tc>
        <w:tc>
          <w:tcPr>
            <w:tcW w:w="2680" w:type="dxa"/>
            <w:gridSpan w:val="4"/>
            <w:noWrap w:val="0"/>
            <w:vAlign w:val="center"/>
          </w:tcPr>
          <w:p w14:paraId="404BCF5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4B39952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2444" w:type="dxa"/>
            <w:gridSpan w:val="3"/>
            <w:noWrap w:val="0"/>
            <w:vAlign w:val="center"/>
          </w:tcPr>
          <w:p w14:paraId="72519AE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3574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725" w:type="dxa"/>
            <w:vMerge w:val="continue"/>
            <w:noWrap w:val="0"/>
            <w:vAlign w:val="center"/>
          </w:tcPr>
          <w:p w14:paraId="1E38388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898" w:type="dxa"/>
            <w:noWrap w:val="0"/>
            <w:vAlign w:val="center"/>
          </w:tcPr>
          <w:p w14:paraId="0FC99C0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传真</w:t>
            </w:r>
          </w:p>
        </w:tc>
        <w:tc>
          <w:tcPr>
            <w:tcW w:w="2680" w:type="dxa"/>
            <w:gridSpan w:val="4"/>
            <w:noWrap w:val="0"/>
            <w:vAlign w:val="center"/>
          </w:tcPr>
          <w:p w14:paraId="6D67959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0148449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网址</w:t>
            </w:r>
          </w:p>
        </w:tc>
        <w:tc>
          <w:tcPr>
            <w:tcW w:w="2444" w:type="dxa"/>
            <w:gridSpan w:val="3"/>
            <w:noWrap w:val="0"/>
            <w:vAlign w:val="center"/>
          </w:tcPr>
          <w:p w14:paraId="0EDED12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46F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3A9AD1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组织结构</w:t>
            </w:r>
          </w:p>
        </w:tc>
        <w:tc>
          <w:tcPr>
            <w:tcW w:w="7116" w:type="dxa"/>
            <w:gridSpan w:val="9"/>
            <w:noWrap w:val="0"/>
            <w:vAlign w:val="center"/>
          </w:tcPr>
          <w:p w14:paraId="0C4D26E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2CA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5E78EF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w:t>
            </w:r>
          </w:p>
        </w:tc>
        <w:tc>
          <w:tcPr>
            <w:tcW w:w="898" w:type="dxa"/>
            <w:noWrap w:val="0"/>
            <w:vAlign w:val="center"/>
          </w:tcPr>
          <w:p w14:paraId="2A2DF04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姓名</w:t>
            </w:r>
          </w:p>
        </w:tc>
        <w:tc>
          <w:tcPr>
            <w:tcW w:w="899" w:type="dxa"/>
            <w:noWrap w:val="0"/>
            <w:vAlign w:val="center"/>
          </w:tcPr>
          <w:p w14:paraId="7A6BD59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438" w:type="dxa"/>
            <w:gridSpan w:val="2"/>
            <w:noWrap w:val="0"/>
            <w:vAlign w:val="center"/>
          </w:tcPr>
          <w:p w14:paraId="78FF172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技术职称</w:t>
            </w:r>
          </w:p>
        </w:tc>
        <w:tc>
          <w:tcPr>
            <w:tcW w:w="1797" w:type="dxa"/>
            <w:gridSpan w:val="3"/>
            <w:noWrap w:val="0"/>
            <w:vAlign w:val="center"/>
          </w:tcPr>
          <w:p w14:paraId="5CDE8A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00" w:type="dxa"/>
            <w:noWrap w:val="0"/>
            <w:vAlign w:val="center"/>
          </w:tcPr>
          <w:p w14:paraId="320C17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884" w:type="dxa"/>
            <w:noWrap w:val="0"/>
            <w:vAlign w:val="center"/>
          </w:tcPr>
          <w:p w14:paraId="1C284E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4197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0A01F0E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成立时间</w:t>
            </w:r>
          </w:p>
        </w:tc>
        <w:tc>
          <w:tcPr>
            <w:tcW w:w="1797" w:type="dxa"/>
            <w:gridSpan w:val="2"/>
            <w:noWrap w:val="0"/>
            <w:vAlign w:val="center"/>
          </w:tcPr>
          <w:p w14:paraId="11D7A7B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5319" w:type="dxa"/>
            <w:gridSpan w:val="7"/>
            <w:noWrap w:val="0"/>
            <w:vAlign w:val="center"/>
          </w:tcPr>
          <w:p w14:paraId="7F907C0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员工总人数：</w:t>
            </w:r>
          </w:p>
        </w:tc>
      </w:tr>
      <w:tr w14:paraId="1A57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1725" w:type="dxa"/>
            <w:noWrap w:val="0"/>
            <w:vAlign w:val="center"/>
          </w:tcPr>
          <w:p w14:paraId="358B079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社会信用统一代码</w:t>
            </w:r>
          </w:p>
        </w:tc>
        <w:tc>
          <w:tcPr>
            <w:tcW w:w="1797" w:type="dxa"/>
            <w:gridSpan w:val="2"/>
            <w:noWrap w:val="0"/>
            <w:vAlign w:val="center"/>
          </w:tcPr>
          <w:p w14:paraId="622339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restart"/>
            <w:noWrap w:val="0"/>
            <w:vAlign w:val="center"/>
          </w:tcPr>
          <w:p w14:paraId="64AFE3BC">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p>
          <w:p w14:paraId="5DEF84C4">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职称</w:t>
            </w:r>
          </w:p>
        </w:tc>
        <w:tc>
          <w:tcPr>
            <w:tcW w:w="1977" w:type="dxa"/>
            <w:gridSpan w:val="4"/>
            <w:noWrap w:val="0"/>
            <w:vAlign w:val="center"/>
          </w:tcPr>
          <w:p w14:paraId="1F13A1D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高级职称人员</w:t>
            </w:r>
          </w:p>
        </w:tc>
        <w:tc>
          <w:tcPr>
            <w:tcW w:w="2084" w:type="dxa"/>
            <w:gridSpan w:val="2"/>
            <w:noWrap w:val="0"/>
            <w:vAlign w:val="center"/>
          </w:tcPr>
          <w:p w14:paraId="7C194C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3BD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38CB8E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注册资金</w:t>
            </w:r>
          </w:p>
        </w:tc>
        <w:tc>
          <w:tcPr>
            <w:tcW w:w="1797" w:type="dxa"/>
            <w:gridSpan w:val="2"/>
            <w:noWrap w:val="0"/>
            <w:vAlign w:val="center"/>
          </w:tcPr>
          <w:p w14:paraId="380718A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12193D3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669691A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中级职称人员</w:t>
            </w:r>
          </w:p>
        </w:tc>
        <w:tc>
          <w:tcPr>
            <w:tcW w:w="2084" w:type="dxa"/>
            <w:gridSpan w:val="2"/>
            <w:noWrap w:val="0"/>
            <w:vAlign w:val="center"/>
          </w:tcPr>
          <w:p w14:paraId="7A7884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707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51EB4C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开户银行</w:t>
            </w:r>
          </w:p>
        </w:tc>
        <w:tc>
          <w:tcPr>
            <w:tcW w:w="1797" w:type="dxa"/>
            <w:gridSpan w:val="2"/>
            <w:noWrap w:val="0"/>
            <w:vAlign w:val="center"/>
          </w:tcPr>
          <w:p w14:paraId="6AC0B7E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24AB57A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82E575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初级职称人员</w:t>
            </w:r>
          </w:p>
        </w:tc>
        <w:tc>
          <w:tcPr>
            <w:tcW w:w="2084" w:type="dxa"/>
            <w:gridSpan w:val="2"/>
            <w:noWrap w:val="0"/>
            <w:vAlign w:val="center"/>
          </w:tcPr>
          <w:p w14:paraId="52C4B18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86D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42ACE96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账号</w:t>
            </w:r>
          </w:p>
        </w:tc>
        <w:tc>
          <w:tcPr>
            <w:tcW w:w="1797" w:type="dxa"/>
            <w:gridSpan w:val="2"/>
            <w:noWrap w:val="0"/>
            <w:vAlign w:val="center"/>
          </w:tcPr>
          <w:p w14:paraId="7E346E2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5BE98E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D354F7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技工</w:t>
            </w:r>
          </w:p>
        </w:tc>
        <w:tc>
          <w:tcPr>
            <w:tcW w:w="2084" w:type="dxa"/>
            <w:gridSpan w:val="2"/>
            <w:noWrap w:val="0"/>
            <w:vAlign w:val="center"/>
          </w:tcPr>
          <w:p w14:paraId="417F29D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744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1" w:hRule="atLeast"/>
        </w:trPr>
        <w:tc>
          <w:tcPr>
            <w:tcW w:w="1725" w:type="dxa"/>
            <w:noWrap w:val="0"/>
            <w:vAlign w:val="center"/>
          </w:tcPr>
          <w:p w14:paraId="0EF1C07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经营范围</w:t>
            </w:r>
          </w:p>
        </w:tc>
        <w:tc>
          <w:tcPr>
            <w:tcW w:w="7116" w:type="dxa"/>
            <w:gridSpan w:val="9"/>
            <w:noWrap w:val="0"/>
            <w:vAlign w:val="center"/>
          </w:tcPr>
          <w:p w14:paraId="598B845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D17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11E1F4D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备注</w:t>
            </w:r>
          </w:p>
        </w:tc>
        <w:tc>
          <w:tcPr>
            <w:tcW w:w="7116" w:type="dxa"/>
            <w:gridSpan w:val="9"/>
            <w:noWrap w:val="0"/>
            <w:vAlign w:val="center"/>
          </w:tcPr>
          <w:p w14:paraId="52C4871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bl>
    <w:p w14:paraId="78E8EF4F">
      <w:pPr>
        <w:autoSpaceDE w:val="0"/>
        <w:autoSpaceDN w:val="0"/>
        <w:adjustRightInd w:val="0"/>
        <w:ind w:firstLine="435"/>
        <w:rPr>
          <w:rFonts w:hint="eastAsia" w:ascii="宋体" w:hAnsi="宋体" w:cs="宋体"/>
          <w:bCs/>
          <w:color w:val="000000"/>
          <w:szCs w:val="21"/>
          <w:highlight w:val="none"/>
          <w:lang w:val="zh-CN"/>
        </w:rPr>
      </w:pPr>
    </w:p>
    <w:p w14:paraId="10561866">
      <w:pPr>
        <w:autoSpaceDE w:val="0"/>
        <w:autoSpaceDN w:val="0"/>
        <w:adjustRightInd w:val="0"/>
        <w:ind w:firstLine="435"/>
        <w:rPr>
          <w:rFonts w:hint="eastAsia" w:ascii="宋体" w:hAnsi="宋体" w:cs="宋体"/>
          <w:bCs/>
          <w:color w:val="000000"/>
          <w:szCs w:val="21"/>
          <w:highlight w:val="none"/>
          <w:lang w:val="zh-CN"/>
        </w:rPr>
      </w:pPr>
    </w:p>
    <w:p w14:paraId="3668C54B">
      <w:pPr>
        <w:pStyle w:val="19"/>
        <w:spacing w:line="400" w:lineRule="atLeast"/>
        <w:rPr>
          <w:rFonts w:hint="eastAsia" w:hAnsi="宋体" w:cs="宋体"/>
          <w:b/>
          <w:color w:val="000000"/>
          <w:highlight w:val="none"/>
          <w:lang w:val="zh-CN"/>
        </w:rPr>
      </w:pPr>
      <w:r>
        <w:rPr>
          <w:rFonts w:hint="eastAsia" w:hAnsi="宋体" w:cs="宋体"/>
          <w:b/>
          <w:color w:val="000000"/>
          <w:highlight w:val="none"/>
          <w:lang w:val="zh-CN"/>
        </w:rPr>
        <w:t>注：后附营业执照、</w:t>
      </w:r>
      <w:r>
        <w:rPr>
          <w:rFonts w:hint="eastAsia" w:hAnsi="宋体" w:cs="宋体"/>
          <w:b/>
          <w:color w:val="000000"/>
          <w:highlight w:val="none"/>
          <w:lang w:val="en-US" w:eastAsia="zh-CN"/>
        </w:rPr>
        <w:t>开户许可证</w:t>
      </w:r>
      <w:r>
        <w:rPr>
          <w:rFonts w:hint="eastAsia" w:hAnsi="宋体" w:cs="宋体"/>
          <w:b/>
          <w:color w:val="000000"/>
          <w:highlight w:val="none"/>
          <w:lang w:val="zh-CN"/>
        </w:rPr>
        <w:t>等投标人认为有必要添加的复印件加盖公章</w:t>
      </w:r>
    </w:p>
    <w:p w14:paraId="00B8251B">
      <w:pPr>
        <w:pStyle w:val="19"/>
        <w:spacing w:line="400" w:lineRule="atLeast"/>
        <w:rPr>
          <w:rFonts w:hint="eastAsia" w:hAnsi="宋体" w:cs="宋体"/>
          <w:b/>
          <w:color w:val="000000"/>
          <w:highlight w:val="none"/>
          <w:lang w:val="zh-CN"/>
        </w:rPr>
      </w:pPr>
    </w:p>
    <w:p w14:paraId="346261EF">
      <w:pPr>
        <w:pStyle w:val="19"/>
        <w:spacing w:line="400" w:lineRule="atLeast"/>
        <w:rPr>
          <w:rFonts w:hint="eastAsia" w:hAnsi="宋体" w:cs="宋体"/>
          <w:b/>
          <w:color w:val="000000"/>
          <w:highlight w:val="none"/>
          <w:lang w:val="zh-CN"/>
        </w:rPr>
      </w:pPr>
    </w:p>
    <w:p w14:paraId="447354E3">
      <w:pPr>
        <w:pStyle w:val="19"/>
        <w:spacing w:line="400" w:lineRule="atLeast"/>
        <w:rPr>
          <w:rFonts w:hint="eastAsia" w:hAnsi="宋体" w:cs="宋体"/>
          <w:b/>
          <w:color w:val="000000"/>
          <w:highlight w:val="none"/>
          <w:lang w:val="zh-CN"/>
        </w:rPr>
      </w:pPr>
    </w:p>
    <w:p w14:paraId="2E54E855">
      <w:pPr>
        <w:pStyle w:val="19"/>
        <w:spacing w:line="400" w:lineRule="atLeast"/>
        <w:rPr>
          <w:rFonts w:hint="eastAsia" w:hAnsi="宋体" w:cs="宋体"/>
          <w:b/>
          <w:color w:val="000000"/>
          <w:highlight w:val="none"/>
          <w:lang w:val="zh-CN"/>
        </w:rPr>
      </w:pPr>
    </w:p>
    <w:p w14:paraId="76E2E54A">
      <w:pPr>
        <w:pStyle w:val="19"/>
        <w:spacing w:line="400" w:lineRule="atLeast"/>
        <w:rPr>
          <w:rFonts w:hint="eastAsia" w:hAnsi="宋体" w:cs="宋体"/>
          <w:b/>
          <w:color w:val="000000"/>
          <w:highlight w:val="none"/>
          <w:lang w:val="zh-CN"/>
        </w:rPr>
      </w:pPr>
    </w:p>
    <w:p w14:paraId="3059768E">
      <w:pPr>
        <w:pStyle w:val="19"/>
        <w:spacing w:line="400" w:lineRule="atLeast"/>
        <w:rPr>
          <w:rFonts w:hint="eastAsia" w:hAnsi="宋体" w:cs="宋体"/>
          <w:b/>
          <w:color w:val="000000"/>
          <w:highlight w:val="none"/>
          <w:lang w:val="zh-CN"/>
        </w:rPr>
      </w:pPr>
    </w:p>
    <w:p w14:paraId="64E501B1">
      <w:pPr>
        <w:spacing w:before="240" w:beforeLines="100" w:line="4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二</w:t>
      </w:r>
      <w:r>
        <w:rPr>
          <w:rFonts w:hint="eastAsia" w:ascii="宋体" w:hAnsi="宋体" w:eastAsia="宋体" w:cs="宋体"/>
          <w:bCs/>
          <w:sz w:val="21"/>
          <w:szCs w:val="21"/>
          <w:highlight w:val="none"/>
        </w:rPr>
        <w:t>）信誉要求</w:t>
      </w:r>
    </w:p>
    <w:p w14:paraId="7D83B7A7">
      <w:pPr>
        <w:spacing w:line="360" w:lineRule="auto"/>
        <w:ind w:firstLine="420" w:firstLineChars="200"/>
        <w:jc w:val="center"/>
        <w:rPr>
          <w:rFonts w:hint="eastAsia" w:ascii="宋体" w:hAnsi="宋体" w:eastAsia="宋体" w:cs="宋体"/>
          <w:bCs/>
          <w:sz w:val="21"/>
          <w:szCs w:val="21"/>
          <w:highlight w:val="none"/>
        </w:rPr>
      </w:pPr>
    </w:p>
    <w:p w14:paraId="338375C8">
      <w:pPr>
        <w:rPr>
          <w:rFonts w:hint="eastAsia" w:ascii="宋体" w:hAnsi="宋体" w:eastAsia="宋体" w:cs="宋体"/>
          <w:sz w:val="21"/>
          <w:szCs w:val="21"/>
          <w:highlight w:val="none"/>
        </w:rPr>
      </w:pPr>
    </w:p>
    <w:p w14:paraId="2CE82AC9">
      <w:pPr>
        <w:jc w:val="center"/>
        <w:rPr>
          <w:rFonts w:hint="eastAsia" w:ascii="宋体" w:hAnsi="宋体" w:eastAsia="宋体" w:cs="宋体"/>
          <w:b/>
          <w:sz w:val="21"/>
          <w:szCs w:val="21"/>
          <w:highlight w:val="none"/>
        </w:rPr>
      </w:pPr>
    </w:p>
    <w:p w14:paraId="2CF9F1B2">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信誉承诺书</w:t>
      </w:r>
    </w:p>
    <w:p w14:paraId="21029BFF">
      <w:pPr>
        <w:jc w:val="center"/>
        <w:rPr>
          <w:rFonts w:hint="eastAsia" w:ascii="宋体" w:hAnsi="宋体" w:eastAsia="宋体" w:cs="宋体"/>
          <w:b/>
          <w:sz w:val="21"/>
          <w:szCs w:val="21"/>
          <w:highlight w:val="none"/>
        </w:rPr>
      </w:pPr>
    </w:p>
    <w:p w14:paraId="7E407DB8">
      <w:pPr>
        <w:jc w:val="center"/>
        <w:rPr>
          <w:rFonts w:hint="eastAsia" w:ascii="宋体" w:hAnsi="宋体" w:eastAsia="宋体" w:cs="宋体"/>
          <w:b/>
          <w:sz w:val="21"/>
          <w:szCs w:val="21"/>
          <w:highlight w:val="none"/>
        </w:rPr>
      </w:pPr>
    </w:p>
    <w:p w14:paraId="2E5A6B7A">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我公司在此承诺无企业不良行为记录，不是政府取消投标资格记录期间的企业。</w:t>
      </w:r>
      <w:r>
        <w:rPr>
          <w:rFonts w:hint="eastAsia" w:ascii="宋体" w:hAnsi="宋体" w:eastAsia="宋体" w:cs="宋体"/>
          <w:bCs/>
          <w:sz w:val="21"/>
          <w:szCs w:val="21"/>
          <w:highlight w:val="none"/>
        </w:rPr>
        <w:t>能够自觉遵守国家法律法规、执业准则和职业道德，近三年内没有因违法违规受过行政主管部门和行业协会的行政处罚。不是被列入失信被执行人，重大税收违法案件当事人名单、政府采购严重违法失信行为记录名单的投标人。</w:t>
      </w:r>
    </w:p>
    <w:p w14:paraId="37922F3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288B8443">
      <w:pPr>
        <w:wordWrap w:val="0"/>
        <w:spacing w:line="360" w:lineRule="auto"/>
        <w:ind w:right="480"/>
        <w:rPr>
          <w:rFonts w:hint="eastAsia" w:ascii="宋体" w:hAnsi="宋体" w:eastAsia="宋体" w:cs="宋体"/>
          <w:sz w:val="21"/>
          <w:szCs w:val="21"/>
          <w:highlight w:val="none"/>
        </w:rPr>
      </w:pPr>
    </w:p>
    <w:p w14:paraId="380F7B86">
      <w:pPr>
        <w:wordWrap w:val="0"/>
        <w:spacing w:line="360" w:lineRule="auto"/>
        <w:ind w:right="480"/>
        <w:rPr>
          <w:rFonts w:hint="eastAsia" w:ascii="宋体" w:hAnsi="宋体" w:eastAsia="宋体" w:cs="宋体"/>
          <w:sz w:val="21"/>
          <w:szCs w:val="21"/>
          <w:highlight w:val="none"/>
        </w:rPr>
      </w:pPr>
    </w:p>
    <w:p w14:paraId="330A3DA8">
      <w:pPr>
        <w:wordWrap w:val="0"/>
        <w:spacing w:line="360" w:lineRule="auto"/>
        <w:ind w:right="480"/>
        <w:rPr>
          <w:rFonts w:hint="eastAsia" w:ascii="宋体" w:hAnsi="宋体" w:eastAsia="宋体" w:cs="宋体"/>
          <w:sz w:val="21"/>
          <w:szCs w:val="21"/>
          <w:highlight w:val="none"/>
        </w:rPr>
      </w:pPr>
    </w:p>
    <w:p w14:paraId="490E55FF">
      <w:pPr>
        <w:wordWrap w:val="0"/>
        <w:spacing w:line="360" w:lineRule="auto"/>
        <w:ind w:right="480"/>
        <w:rPr>
          <w:rFonts w:hint="eastAsia" w:ascii="宋体" w:hAnsi="宋体" w:eastAsia="宋体" w:cs="宋体"/>
          <w:sz w:val="21"/>
          <w:szCs w:val="21"/>
          <w:highlight w:val="none"/>
        </w:rPr>
      </w:pPr>
    </w:p>
    <w:p w14:paraId="2A52BCE5">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投标人（盖单位公章）：</w:t>
      </w:r>
    </w:p>
    <w:p w14:paraId="6BCC3E7E">
      <w:pPr>
        <w:spacing w:line="480" w:lineRule="auto"/>
        <w:ind w:left="1200" w:hanging="1050" w:hangingChars="500"/>
        <w:jc w:val="center"/>
        <w:rPr>
          <w:rFonts w:hint="eastAsia" w:ascii="宋体" w:hAnsi="宋体" w:eastAsia="宋体" w:cs="宋体"/>
          <w:sz w:val="21"/>
          <w:szCs w:val="21"/>
          <w:highlight w:val="none"/>
        </w:rPr>
      </w:pPr>
    </w:p>
    <w:p w14:paraId="7705E04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法定代表人（签字或盖章）：</w:t>
      </w:r>
    </w:p>
    <w:p w14:paraId="22C6A5D9">
      <w:pPr>
        <w:spacing w:line="480" w:lineRule="auto"/>
        <w:ind w:left="1200" w:hanging="1050" w:hangingChars="500"/>
        <w:jc w:val="center"/>
        <w:rPr>
          <w:rFonts w:hint="eastAsia" w:ascii="宋体" w:hAnsi="宋体" w:eastAsia="宋体" w:cs="宋体"/>
          <w:sz w:val="21"/>
          <w:szCs w:val="21"/>
          <w:highlight w:val="none"/>
        </w:rPr>
      </w:pPr>
    </w:p>
    <w:p w14:paraId="2B72AAB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1B5FF472">
      <w:pPr>
        <w:pStyle w:val="19"/>
        <w:spacing w:line="400" w:lineRule="atLeast"/>
        <w:rPr>
          <w:rFonts w:hint="eastAsia" w:hAnsi="宋体" w:cs="宋体"/>
          <w:b/>
          <w:color w:val="000000"/>
          <w:highlight w:val="none"/>
          <w:lang w:val="zh-CN"/>
        </w:rPr>
        <w:sectPr>
          <w:headerReference r:id="rId10" w:type="default"/>
          <w:pgSz w:w="11906" w:h="16838"/>
          <w:pgMar w:top="1440" w:right="1752" w:bottom="1440" w:left="1797" w:header="851" w:footer="737" w:gutter="0"/>
          <w:cols w:space="720" w:num="1"/>
          <w:docGrid w:linePitch="490" w:charSpace="0"/>
        </w:sectPr>
      </w:pPr>
    </w:p>
    <w:p w14:paraId="755067D1">
      <w:pPr>
        <w:spacing w:line="360" w:lineRule="auto"/>
        <w:ind w:firstLine="420" w:firstLineChars="200"/>
        <w:jc w:val="center"/>
        <w:rPr>
          <w:rFonts w:hint="eastAsia" w:ascii="宋体" w:hAnsi="宋体" w:eastAsia="宋体" w:cs="宋体"/>
          <w:sz w:val="21"/>
          <w:szCs w:val="21"/>
          <w:highlight w:val="none"/>
          <w:lang w:val="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三</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网站截图</w:t>
      </w:r>
    </w:p>
    <w:p w14:paraId="4D4135B6">
      <w:pPr>
        <w:autoSpaceDE w:val="0"/>
        <w:autoSpaceDN w:val="0"/>
        <w:adjustRightInd w:val="0"/>
        <w:spacing w:line="400" w:lineRule="exact"/>
        <w:rPr>
          <w:rFonts w:hint="eastAsia" w:ascii="宋体" w:hAnsi="宋体" w:eastAsia="宋体" w:cs="宋体"/>
          <w:sz w:val="21"/>
          <w:szCs w:val="21"/>
          <w:highlight w:val="none"/>
          <w:lang w:val="zh-CN"/>
        </w:rPr>
      </w:pPr>
    </w:p>
    <w:p w14:paraId="4FE28130">
      <w:pPr>
        <w:autoSpaceDE w:val="0"/>
        <w:autoSpaceDN w:val="0"/>
        <w:adjustRightInd w:val="0"/>
        <w:spacing w:line="400" w:lineRule="exac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提供“信用中国”网站（www.creditchina.gov.cn）未列入</w:t>
      </w:r>
      <w:r>
        <w:rPr>
          <w:rFonts w:hint="eastAsia" w:ascii="宋体" w:hAnsi="宋体" w:eastAsia="宋体" w:cs="宋体"/>
          <w:color w:val="auto"/>
          <w:spacing w:val="-6"/>
          <w:sz w:val="21"/>
          <w:szCs w:val="21"/>
          <w:highlight w:val="none"/>
          <w:lang w:val="en-US" w:eastAsia="zh-CN"/>
        </w:rPr>
        <w:t>失信被执行人、政府采购严重违法失信行为记录名单、重大税收违法失信主体</w:t>
      </w:r>
      <w:r>
        <w:rPr>
          <w:rFonts w:hint="eastAsia" w:ascii="宋体" w:hAnsi="宋体" w:eastAsia="宋体" w:cs="宋体"/>
          <w:color w:val="auto"/>
          <w:spacing w:val="-6"/>
          <w:sz w:val="21"/>
          <w:szCs w:val="21"/>
          <w:highlight w:val="none"/>
        </w:rPr>
        <w:t>的官网截图并加盖公章；提供中国政府采购网（www.ccgp.gov.cn）未列入政府采购严重违法失信行为记录名单的官网截图并加盖公章；</w:t>
      </w:r>
      <w:r>
        <w:rPr>
          <w:rFonts w:hint="eastAsia" w:ascii="宋体" w:hAnsi="宋体" w:eastAsia="宋体" w:cs="宋体"/>
          <w:color w:val="auto"/>
          <w:spacing w:val="-6"/>
          <w:sz w:val="21"/>
          <w:szCs w:val="21"/>
          <w:highlight w:val="none"/>
          <w:lang w:eastAsia="zh-CN"/>
        </w:rPr>
        <w:t>提供</w:t>
      </w:r>
      <w:r>
        <w:rPr>
          <w:rFonts w:hint="eastAsia" w:ascii="宋体" w:hAnsi="宋体" w:eastAsia="宋体" w:cs="宋体"/>
          <w:color w:val="auto"/>
          <w:spacing w:val="-6"/>
          <w:sz w:val="21"/>
          <w:szCs w:val="21"/>
          <w:highlight w:val="none"/>
        </w:rPr>
        <w:t>未被工商行政管理机关在全国企业信用信息公示系统中列入严重违法失信企业名单</w:t>
      </w:r>
      <w:r>
        <w:rPr>
          <w:rFonts w:hint="eastAsia" w:ascii="宋体" w:hAnsi="宋体" w:eastAsia="宋体" w:cs="宋体"/>
          <w:color w:val="auto"/>
          <w:spacing w:val="-6"/>
          <w:sz w:val="21"/>
          <w:szCs w:val="21"/>
          <w:highlight w:val="none"/>
          <w:lang w:eastAsia="zh-CN"/>
        </w:rPr>
        <w:t>的官网截图并加盖公章；</w:t>
      </w:r>
      <w:r>
        <w:rPr>
          <w:rFonts w:hint="eastAsia" w:ascii="宋体" w:hAnsi="宋体" w:eastAsia="宋体" w:cs="宋体"/>
          <w:color w:val="auto"/>
          <w:spacing w:val="-6"/>
          <w:sz w:val="21"/>
          <w:szCs w:val="21"/>
          <w:highlight w:val="none"/>
          <w:lang w:val="en-US" w:eastAsia="zh-CN"/>
        </w:rPr>
        <w:t>在近三年（2021年1月1日至今）内投标人、其法定代表人、授权委托人未在“中国裁判文书网”(wenshu.court.gov.cn)上有行贿犯罪行为记录的官网截图并加盖公章。</w:t>
      </w:r>
    </w:p>
    <w:p w14:paraId="28639E36">
      <w:pPr>
        <w:autoSpaceDE w:val="0"/>
        <w:autoSpaceDN w:val="0"/>
        <w:adjustRightInd w:val="0"/>
        <w:jc w:val="center"/>
        <w:rPr>
          <w:rFonts w:hint="eastAsia" w:ascii="宋体" w:hAnsi="宋体" w:cs="宋体"/>
          <w:bCs/>
          <w:color w:val="000000"/>
          <w:sz w:val="30"/>
          <w:szCs w:val="30"/>
          <w:highlight w:val="none"/>
          <w:lang w:val="zh-CN"/>
        </w:rPr>
        <w:sectPr>
          <w:headerReference r:id="rId11" w:type="default"/>
          <w:footerReference r:id="rId12" w:type="default"/>
          <w:pgSz w:w="11906" w:h="16838"/>
          <w:pgMar w:top="1440" w:right="1752" w:bottom="1440" w:left="1797" w:header="851" w:footer="992" w:gutter="0"/>
          <w:cols w:space="720" w:num="1"/>
          <w:docGrid w:linePitch="312" w:charSpace="0"/>
        </w:sectPr>
      </w:pPr>
    </w:p>
    <w:p w14:paraId="704A99BF">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六、投标保证金</w:t>
      </w:r>
    </w:p>
    <w:p w14:paraId="76C537EF">
      <w:pPr>
        <w:spacing w:line="360" w:lineRule="auto"/>
        <w:ind w:firstLine="435"/>
        <w:rPr>
          <w:rFonts w:hint="eastAsia" w:ascii="宋体" w:hAnsi="宋体" w:cs="宋体"/>
          <w:color w:val="000000"/>
          <w:szCs w:val="21"/>
          <w:highlight w:val="none"/>
        </w:rPr>
      </w:pPr>
      <w:r>
        <w:rPr>
          <w:rFonts w:hint="eastAsia" w:ascii="宋体" w:hAnsi="宋体" w:cs="宋体"/>
          <w:color w:val="000000"/>
          <w:szCs w:val="21"/>
          <w:highlight w:val="none"/>
        </w:rPr>
        <w:t>按照长春市财政局文件长财采购[2021]695号文件执行。投标人自行填写，格式自拟。</w:t>
      </w:r>
    </w:p>
    <w:p w14:paraId="0AB4EF4B">
      <w:pPr>
        <w:jc w:val="left"/>
        <w:rPr>
          <w:rFonts w:hint="eastAsia" w:ascii="宋体" w:hAnsi="宋体" w:cs="宋体"/>
          <w:color w:val="000000"/>
          <w:szCs w:val="21"/>
          <w:highlight w:val="none"/>
        </w:rPr>
      </w:pPr>
    </w:p>
    <w:p w14:paraId="6EB16E80">
      <w:pPr>
        <w:jc w:val="left"/>
        <w:rPr>
          <w:rFonts w:hint="eastAsia" w:ascii="宋体" w:hAnsi="宋体" w:cs="宋体"/>
          <w:color w:val="000000"/>
          <w:szCs w:val="21"/>
          <w:highlight w:val="none"/>
        </w:rPr>
      </w:pPr>
    </w:p>
    <w:p w14:paraId="33AD02B4">
      <w:pPr>
        <w:jc w:val="left"/>
        <w:rPr>
          <w:rFonts w:hint="eastAsia" w:ascii="宋体" w:hAnsi="宋体" w:cs="宋体"/>
          <w:color w:val="000000"/>
          <w:szCs w:val="21"/>
          <w:highlight w:val="none"/>
        </w:rPr>
      </w:pPr>
    </w:p>
    <w:p w14:paraId="6C9ACE6B">
      <w:pPr>
        <w:jc w:val="left"/>
        <w:rPr>
          <w:rFonts w:hint="eastAsia" w:ascii="宋体" w:hAnsi="宋体" w:cs="宋体"/>
          <w:color w:val="000000"/>
          <w:szCs w:val="21"/>
          <w:highlight w:val="none"/>
        </w:rPr>
      </w:pPr>
    </w:p>
    <w:p w14:paraId="1EEBEB82">
      <w:pPr>
        <w:jc w:val="left"/>
        <w:rPr>
          <w:rFonts w:hint="eastAsia" w:ascii="宋体" w:hAnsi="宋体" w:cs="宋体"/>
          <w:color w:val="000000"/>
          <w:szCs w:val="21"/>
          <w:highlight w:val="none"/>
        </w:rPr>
      </w:pPr>
    </w:p>
    <w:p w14:paraId="79E8702B">
      <w:pPr>
        <w:jc w:val="left"/>
        <w:rPr>
          <w:rFonts w:hint="eastAsia" w:ascii="宋体" w:hAnsi="宋体" w:cs="宋体"/>
          <w:color w:val="000000"/>
          <w:szCs w:val="21"/>
          <w:highlight w:val="none"/>
        </w:rPr>
      </w:pPr>
    </w:p>
    <w:p w14:paraId="3DF90B14">
      <w:pPr>
        <w:jc w:val="left"/>
        <w:rPr>
          <w:rFonts w:hint="eastAsia" w:ascii="宋体" w:hAnsi="宋体" w:cs="宋体"/>
          <w:color w:val="000000"/>
          <w:szCs w:val="21"/>
          <w:highlight w:val="none"/>
        </w:rPr>
      </w:pPr>
    </w:p>
    <w:p w14:paraId="7A0094C3">
      <w:pPr>
        <w:jc w:val="left"/>
        <w:rPr>
          <w:rFonts w:hint="eastAsia" w:ascii="宋体" w:hAnsi="宋体" w:cs="宋体"/>
          <w:color w:val="000000"/>
          <w:szCs w:val="21"/>
          <w:highlight w:val="none"/>
        </w:rPr>
      </w:pPr>
    </w:p>
    <w:p w14:paraId="08C3A59B">
      <w:pPr>
        <w:jc w:val="left"/>
        <w:rPr>
          <w:rFonts w:hint="eastAsia" w:ascii="宋体" w:hAnsi="宋体" w:cs="宋体"/>
          <w:color w:val="000000"/>
          <w:szCs w:val="21"/>
          <w:highlight w:val="none"/>
        </w:rPr>
      </w:pPr>
    </w:p>
    <w:p w14:paraId="784CDCF4">
      <w:pPr>
        <w:jc w:val="left"/>
        <w:rPr>
          <w:rFonts w:hint="eastAsia" w:ascii="宋体" w:hAnsi="宋体" w:cs="宋体"/>
          <w:color w:val="000000"/>
          <w:szCs w:val="21"/>
          <w:highlight w:val="none"/>
        </w:rPr>
      </w:pPr>
    </w:p>
    <w:p w14:paraId="1476C9B4">
      <w:pPr>
        <w:jc w:val="left"/>
        <w:rPr>
          <w:rFonts w:hint="eastAsia" w:ascii="宋体" w:hAnsi="宋体" w:cs="宋体"/>
          <w:color w:val="000000"/>
          <w:szCs w:val="21"/>
          <w:highlight w:val="none"/>
        </w:rPr>
      </w:pPr>
    </w:p>
    <w:p w14:paraId="2349B903">
      <w:pPr>
        <w:jc w:val="left"/>
        <w:rPr>
          <w:rFonts w:hint="eastAsia" w:ascii="宋体" w:hAnsi="宋体" w:cs="宋体"/>
          <w:color w:val="000000"/>
          <w:szCs w:val="21"/>
          <w:highlight w:val="none"/>
        </w:rPr>
      </w:pPr>
    </w:p>
    <w:p w14:paraId="3A935930">
      <w:pPr>
        <w:jc w:val="left"/>
        <w:rPr>
          <w:rFonts w:hint="eastAsia" w:ascii="宋体" w:hAnsi="宋体" w:cs="宋体"/>
          <w:color w:val="000000"/>
          <w:szCs w:val="21"/>
          <w:highlight w:val="none"/>
        </w:rPr>
      </w:pPr>
    </w:p>
    <w:p w14:paraId="30E2F9D1">
      <w:pPr>
        <w:jc w:val="left"/>
        <w:rPr>
          <w:rFonts w:hint="eastAsia" w:ascii="宋体" w:hAnsi="宋体" w:cs="宋体"/>
          <w:color w:val="000000"/>
          <w:szCs w:val="21"/>
          <w:highlight w:val="none"/>
        </w:rPr>
      </w:pPr>
    </w:p>
    <w:p w14:paraId="59E2B4C0">
      <w:pPr>
        <w:jc w:val="left"/>
        <w:rPr>
          <w:rFonts w:hint="eastAsia" w:ascii="宋体" w:hAnsi="宋体" w:cs="宋体"/>
          <w:color w:val="000000"/>
          <w:szCs w:val="21"/>
          <w:highlight w:val="none"/>
        </w:rPr>
      </w:pPr>
    </w:p>
    <w:p w14:paraId="4224B9D0">
      <w:pPr>
        <w:jc w:val="left"/>
        <w:rPr>
          <w:rFonts w:hint="eastAsia" w:ascii="宋体" w:hAnsi="宋体" w:cs="宋体"/>
          <w:color w:val="000000"/>
          <w:szCs w:val="21"/>
          <w:highlight w:val="none"/>
        </w:rPr>
      </w:pPr>
    </w:p>
    <w:p w14:paraId="06A2CA9A">
      <w:pPr>
        <w:jc w:val="left"/>
        <w:rPr>
          <w:rFonts w:hint="eastAsia" w:ascii="宋体" w:hAnsi="宋体" w:cs="宋体"/>
          <w:color w:val="000000"/>
          <w:szCs w:val="21"/>
          <w:highlight w:val="none"/>
        </w:rPr>
      </w:pPr>
    </w:p>
    <w:p w14:paraId="37CE4CDE">
      <w:pPr>
        <w:jc w:val="left"/>
        <w:rPr>
          <w:rFonts w:hint="eastAsia" w:ascii="宋体" w:hAnsi="宋体" w:cs="宋体"/>
          <w:color w:val="000000"/>
          <w:szCs w:val="21"/>
          <w:highlight w:val="none"/>
        </w:rPr>
      </w:pPr>
    </w:p>
    <w:p w14:paraId="4647EE7A">
      <w:pPr>
        <w:jc w:val="left"/>
        <w:rPr>
          <w:rFonts w:hint="eastAsia" w:ascii="宋体" w:hAnsi="宋体" w:cs="宋体"/>
          <w:color w:val="000000"/>
          <w:szCs w:val="21"/>
          <w:highlight w:val="none"/>
        </w:rPr>
      </w:pPr>
    </w:p>
    <w:p w14:paraId="38C72458">
      <w:pPr>
        <w:jc w:val="left"/>
        <w:rPr>
          <w:rFonts w:hint="eastAsia" w:ascii="宋体" w:hAnsi="宋体" w:cs="宋体"/>
          <w:color w:val="000000"/>
          <w:szCs w:val="21"/>
          <w:highlight w:val="none"/>
        </w:rPr>
      </w:pPr>
    </w:p>
    <w:p w14:paraId="0CD686C5">
      <w:pPr>
        <w:jc w:val="left"/>
        <w:rPr>
          <w:rFonts w:hint="eastAsia" w:ascii="宋体" w:hAnsi="宋体" w:cs="宋体"/>
          <w:color w:val="000000"/>
          <w:szCs w:val="21"/>
          <w:highlight w:val="none"/>
        </w:rPr>
      </w:pPr>
    </w:p>
    <w:p w14:paraId="297A41A4">
      <w:pPr>
        <w:jc w:val="left"/>
        <w:rPr>
          <w:rFonts w:hint="eastAsia" w:ascii="宋体" w:hAnsi="宋体" w:cs="宋体"/>
          <w:color w:val="000000"/>
          <w:szCs w:val="21"/>
          <w:highlight w:val="none"/>
        </w:rPr>
      </w:pPr>
    </w:p>
    <w:p w14:paraId="374DD7A1">
      <w:pPr>
        <w:jc w:val="left"/>
        <w:rPr>
          <w:rFonts w:hint="eastAsia" w:ascii="宋体" w:hAnsi="宋体" w:cs="宋体"/>
          <w:color w:val="000000"/>
          <w:szCs w:val="21"/>
          <w:highlight w:val="none"/>
        </w:rPr>
      </w:pPr>
    </w:p>
    <w:p w14:paraId="47D8E743">
      <w:pPr>
        <w:jc w:val="left"/>
        <w:rPr>
          <w:rFonts w:hint="eastAsia" w:ascii="宋体" w:hAnsi="宋体" w:cs="宋体"/>
          <w:color w:val="000000"/>
          <w:szCs w:val="21"/>
          <w:highlight w:val="none"/>
        </w:rPr>
      </w:pPr>
    </w:p>
    <w:p w14:paraId="461332AD">
      <w:pPr>
        <w:jc w:val="left"/>
        <w:rPr>
          <w:rFonts w:hint="eastAsia" w:ascii="宋体" w:hAnsi="宋体" w:cs="宋体"/>
          <w:color w:val="000000"/>
          <w:szCs w:val="21"/>
          <w:highlight w:val="none"/>
        </w:rPr>
      </w:pPr>
    </w:p>
    <w:p w14:paraId="1D76C97E">
      <w:pPr>
        <w:jc w:val="left"/>
        <w:rPr>
          <w:rFonts w:hint="eastAsia" w:ascii="宋体" w:hAnsi="宋体" w:cs="宋体"/>
          <w:color w:val="000000"/>
          <w:szCs w:val="21"/>
          <w:highlight w:val="none"/>
        </w:rPr>
      </w:pPr>
    </w:p>
    <w:p w14:paraId="0588B68F">
      <w:pPr>
        <w:jc w:val="left"/>
        <w:rPr>
          <w:rFonts w:hint="eastAsia" w:ascii="宋体" w:hAnsi="宋体" w:cs="宋体"/>
          <w:color w:val="000000"/>
          <w:szCs w:val="21"/>
          <w:highlight w:val="none"/>
        </w:rPr>
      </w:pPr>
    </w:p>
    <w:p w14:paraId="438A819F">
      <w:pPr>
        <w:jc w:val="left"/>
        <w:rPr>
          <w:rFonts w:hint="eastAsia" w:ascii="宋体" w:hAnsi="宋体" w:cs="宋体"/>
          <w:color w:val="000000"/>
          <w:szCs w:val="21"/>
          <w:highlight w:val="none"/>
        </w:rPr>
      </w:pPr>
    </w:p>
    <w:p w14:paraId="6B25CB14">
      <w:pPr>
        <w:jc w:val="left"/>
        <w:rPr>
          <w:rFonts w:hint="eastAsia" w:ascii="宋体" w:hAnsi="宋体" w:cs="宋体"/>
          <w:color w:val="000000"/>
          <w:szCs w:val="21"/>
          <w:highlight w:val="none"/>
        </w:rPr>
      </w:pPr>
    </w:p>
    <w:p w14:paraId="06B85CBF">
      <w:pPr>
        <w:jc w:val="left"/>
        <w:rPr>
          <w:rFonts w:hint="eastAsia" w:ascii="宋体" w:hAnsi="宋体" w:cs="宋体"/>
          <w:color w:val="000000"/>
          <w:szCs w:val="21"/>
          <w:highlight w:val="none"/>
        </w:rPr>
      </w:pPr>
    </w:p>
    <w:p w14:paraId="5A951606">
      <w:pPr>
        <w:jc w:val="left"/>
        <w:rPr>
          <w:rFonts w:hint="eastAsia" w:ascii="宋体" w:hAnsi="宋体" w:cs="宋体"/>
          <w:color w:val="000000"/>
          <w:szCs w:val="21"/>
          <w:highlight w:val="none"/>
        </w:rPr>
      </w:pPr>
    </w:p>
    <w:p w14:paraId="6E6E0E01">
      <w:pPr>
        <w:jc w:val="left"/>
        <w:rPr>
          <w:rFonts w:hint="eastAsia" w:ascii="宋体" w:hAnsi="宋体" w:cs="宋体"/>
          <w:color w:val="000000"/>
          <w:szCs w:val="21"/>
          <w:highlight w:val="none"/>
        </w:rPr>
      </w:pPr>
    </w:p>
    <w:p w14:paraId="74154B50">
      <w:pPr>
        <w:jc w:val="left"/>
        <w:rPr>
          <w:rFonts w:hint="eastAsia" w:ascii="宋体" w:hAnsi="宋体" w:cs="宋体"/>
          <w:color w:val="000000"/>
          <w:szCs w:val="21"/>
          <w:highlight w:val="none"/>
        </w:rPr>
      </w:pPr>
    </w:p>
    <w:p w14:paraId="3567474C">
      <w:pPr>
        <w:jc w:val="left"/>
        <w:rPr>
          <w:rFonts w:hint="eastAsia" w:ascii="宋体" w:hAnsi="宋体" w:cs="宋体"/>
          <w:color w:val="000000"/>
          <w:szCs w:val="21"/>
          <w:highlight w:val="none"/>
        </w:rPr>
      </w:pPr>
    </w:p>
    <w:p w14:paraId="721A536D">
      <w:pPr>
        <w:jc w:val="left"/>
        <w:rPr>
          <w:rFonts w:hint="eastAsia" w:ascii="宋体" w:hAnsi="宋体" w:cs="宋体"/>
          <w:color w:val="000000"/>
          <w:szCs w:val="21"/>
          <w:highlight w:val="none"/>
        </w:rPr>
      </w:pPr>
    </w:p>
    <w:p w14:paraId="0360D6EA">
      <w:pPr>
        <w:jc w:val="left"/>
        <w:rPr>
          <w:rFonts w:hint="eastAsia" w:ascii="宋体" w:hAnsi="宋体" w:cs="宋体"/>
          <w:color w:val="000000"/>
          <w:szCs w:val="21"/>
          <w:highlight w:val="none"/>
        </w:rPr>
      </w:pPr>
    </w:p>
    <w:p w14:paraId="0980A8D0">
      <w:pPr>
        <w:autoSpaceDE w:val="0"/>
        <w:autoSpaceDN w:val="0"/>
        <w:adjustRightInd w:val="0"/>
        <w:jc w:val="left"/>
        <w:rPr>
          <w:rFonts w:hint="eastAsia" w:ascii="宋体" w:hAnsi="宋体" w:cs="宋体"/>
          <w:bCs/>
          <w:color w:val="000000"/>
          <w:sz w:val="32"/>
          <w:szCs w:val="32"/>
          <w:highlight w:val="none"/>
          <w:lang w:val="zh-CN"/>
        </w:rPr>
      </w:pPr>
    </w:p>
    <w:p w14:paraId="071196A9">
      <w:pPr>
        <w:pStyle w:val="73"/>
        <w:rPr>
          <w:rFonts w:hint="eastAsia" w:eastAsia="宋体"/>
          <w:bCs/>
          <w:sz w:val="32"/>
          <w:szCs w:val="32"/>
          <w:highlight w:val="none"/>
          <w:lang w:val="zh-CN"/>
        </w:rPr>
      </w:pPr>
    </w:p>
    <w:p w14:paraId="2DB9C279">
      <w:pPr>
        <w:pStyle w:val="73"/>
        <w:rPr>
          <w:rFonts w:hint="eastAsia" w:eastAsia="宋体"/>
          <w:bCs/>
          <w:sz w:val="32"/>
          <w:szCs w:val="32"/>
          <w:highlight w:val="none"/>
          <w:lang w:val="zh-CN"/>
        </w:rPr>
      </w:pPr>
    </w:p>
    <w:p w14:paraId="31729FA8">
      <w:pPr>
        <w:autoSpaceDE w:val="0"/>
        <w:autoSpaceDN w:val="0"/>
        <w:adjustRightInd w:val="0"/>
        <w:jc w:val="left"/>
        <w:rPr>
          <w:rFonts w:hint="eastAsia" w:ascii="宋体" w:hAnsi="宋体" w:cs="宋体"/>
          <w:bCs/>
          <w:color w:val="000000"/>
          <w:sz w:val="32"/>
          <w:szCs w:val="32"/>
          <w:highlight w:val="none"/>
          <w:lang w:val="zh-CN"/>
        </w:rPr>
      </w:pPr>
    </w:p>
    <w:p w14:paraId="5E4B76C2">
      <w:pPr>
        <w:autoSpaceDE w:val="0"/>
        <w:autoSpaceDN w:val="0"/>
        <w:adjustRightInd w:val="0"/>
        <w:jc w:val="left"/>
        <w:rPr>
          <w:rFonts w:hint="eastAsia" w:ascii="宋体" w:hAnsi="宋体" w:cs="宋体"/>
          <w:bCs/>
          <w:color w:val="000000"/>
          <w:sz w:val="32"/>
          <w:szCs w:val="32"/>
          <w:highlight w:val="none"/>
          <w:lang w:val="zh-CN"/>
        </w:rPr>
      </w:pPr>
    </w:p>
    <w:p w14:paraId="072CAD6D">
      <w:pPr>
        <w:pStyle w:val="73"/>
        <w:rPr>
          <w:rFonts w:hint="eastAsia"/>
          <w:highlight w:val="none"/>
          <w:lang w:val="zh-CN"/>
        </w:rPr>
      </w:pPr>
    </w:p>
    <w:p w14:paraId="73117D5A">
      <w:pPr>
        <w:pStyle w:val="73"/>
        <w:rPr>
          <w:rFonts w:hint="eastAsia"/>
          <w:highlight w:val="none"/>
          <w:lang w:val="zh-CN"/>
        </w:rPr>
      </w:pPr>
    </w:p>
    <w:p w14:paraId="4B3CD443">
      <w:pPr>
        <w:pStyle w:val="73"/>
        <w:rPr>
          <w:rFonts w:hint="eastAsia"/>
          <w:highlight w:val="none"/>
          <w:lang w:val="zh-CN"/>
        </w:rPr>
      </w:pPr>
    </w:p>
    <w:p w14:paraId="14F2B2AE">
      <w:pPr>
        <w:autoSpaceDE w:val="0"/>
        <w:autoSpaceDN w:val="0"/>
        <w:adjustRightInd w:val="0"/>
        <w:jc w:val="left"/>
        <w:rPr>
          <w:rFonts w:hint="eastAsia" w:ascii="宋体" w:hAnsi="宋体" w:cs="宋体"/>
          <w:bCs/>
          <w:color w:val="000000"/>
          <w:sz w:val="32"/>
          <w:szCs w:val="32"/>
          <w:highlight w:val="none"/>
          <w:lang w:val="zh-CN"/>
        </w:rPr>
      </w:pPr>
    </w:p>
    <w:p w14:paraId="02729DF7">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七、投标人的资格声明</w:t>
      </w:r>
    </w:p>
    <w:p w14:paraId="3500FB81">
      <w:pPr>
        <w:autoSpaceDE w:val="0"/>
        <w:autoSpaceDN w:val="0"/>
        <w:adjustRightInd w:val="0"/>
        <w:rPr>
          <w:rFonts w:hint="eastAsia" w:ascii="宋体" w:hAnsi="宋体" w:cs="宋体"/>
          <w:bCs/>
          <w:color w:val="000000"/>
          <w:sz w:val="24"/>
          <w:highlight w:val="none"/>
          <w:lang w:val="zh-CN"/>
        </w:rPr>
      </w:pPr>
    </w:p>
    <w:p w14:paraId="3C41007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（采购人名称及代理机构名称）  </w:t>
      </w:r>
      <w:r>
        <w:rPr>
          <w:rFonts w:hint="eastAsia" w:ascii="宋体" w:hAnsi="宋体" w:cs="宋体"/>
          <w:bCs/>
          <w:color w:val="000000"/>
          <w:szCs w:val="21"/>
          <w:highlight w:val="none"/>
          <w:lang w:val="zh-CN"/>
        </w:rPr>
        <w:t>：</w:t>
      </w:r>
    </w:p>
    <w:p w14:paraId="088C29B0">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按照《中华人民共和国政府采购法》第22条和你公司发布的</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招标文件》（编号为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00"/>
          <w:szCs w:val="21"/>
          <w:highlight w:val="none"/>
          <w:lang w:val="zh-CN"/>
        </w:rPr>
        <w:t>）的规定，我公司郑重声明如下：</w:t>
      </w:r>
    </w:p>
    <w:p w14:paraId="17FF3038">
      <w:pPr>
        <w:autoSpaceDE w:val="0"/>
        <w:autoSpaceDN w:val="0"/>
        <w:adjustRightInd w:val="0"/>
        <w:spacing w:line="360" w:lineRule="auto"/>
        <w:ind w:firstLine="48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1、我公司是按照中华人民共和国法律在工商管理机关登记注册的企业法人，注册地点为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，公司全称为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，法定代表人为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，具有独立承担民事责任的能力。</w:t>
      </w:r>
    </w:p>
    <w:p w14:paraId="370B5B5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2、我公司具有良好的商业信誉和健全的财务会计制度。</w:t>
      </w:r>
    </w:p>
    <w:p w14:paraId="4C4D89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3、我公司具有履行本项目采购合同所必需的设备和专业技术能力。</w:t>
      </w:r>
    </w:p>
    <w:p w14:paraId="43BD8AA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4、我公司具有依法缴纳税收和社会保障资金的良好记录。</w:t>
      </w:r>
    </w:p>
    <w:p w14:paraId="7CA13B3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5、我公司在参与本次采购活动之前三年内，在经营活动中无重大违法记录。</w:t>
      </w:r>
    </w:p>
    <w:p w14:paraId="42F94C5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6、我公司在参与本次政府采购活动时未受到任何地方政府采购部门作出的暂停参加政府采购活动的处罚。</w:t>
      </w:r>
    </w:p>
    <w:p w14:paraId="04A938A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我公司保证上述声明的事项都是真实的，如有虚假，我公司承担相应的法律责任，并承担因此给项目采购人所造成的损失。</w:t>
      </w:r>
    </w:p>
    <w:p w14:paraId="77BCDD4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1E1D957F">
      <w:pPr>
        <w:autoSpaceDE w:val="0"/>
        <w:autoSpaceDN w:val="0"/>
        <w:adjustRightInd w:val="0"/>
        <w:spacing w:line="360" w:lineRule="auto"/>
        <w:ind w:firstLine="480"/>
        <w:rPr>
          <w:rFonts w:hint="eastAsia" w:ascii="宋体" w:hAnsi="宋体" w:cs="宋体"/>
          <w:bCs/>
          <w:color w:val="000000"/>
          <w:szCs w:val="21"/>
          <w:highlight w:val="none"/>
          <w:lang w:val="zh-CN"/>
        </w:rPr>
      </w:pPr>
    </w:p>
    <w:p w14:paraId="3767DC1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65FE9AD6">
      <w:pPr>
        <w:autoSpaceDE w:val="0"/>
        <w:autoSpaceDN w:val="0"/>
        <w:adjustRightInd w:val="0"/>
        <w:spacing w:line="360" w:lineRule="auto"/>
        <w:ind w:firstLine="480"/>
        <w:rPr>
          <w:rFonts w:hint="eastAsia" w:ascii="宋体" w:hAnsi="宋体" w:cs="宋体"/>
          <w:bCs/>
          <w:color w:val="000000"/>
          <w:szCs w:val="21"/>
          <w:highlight w:val="none"/>
          <w:lang w:val="zh-CN"/>
        </w:rPr>
      </w:pPr>
    </w:p>
    <w:p w14:paraId="54D1C9B5">
      <w:pPr>
        <w:autoSpaceDE w:val="0"/>
        <w:autoSpaceDN w:val="0"/>
        <w:adjustRightInd w:val="0"/>
        <w:spacing w:line="360" w:lineRule="auto"/>
        <w:ind w:firstLine="480"/>
        <w:rPr>
          <w:rFonts w:hint="eastAsia" w:ascii="宋体" w:hAnsi="宋体" w:cs="宋体"/>
          <w:bCs/>
          <w:color w:val="000000"/>
          <w:szCs w:val="21"/>
          <w:highlight w:val="none"/>
        </w:rPr>
      </w:pPr>
      <w:r>
        <w:rPr>
          <w:rFonts w:hint="eastAsia" w:ascii="宋体" w:hAnsi="宋体" w:cs="宋体"/>
          <w:bCs/>
          <w:color w:val="000000"/>
          <w:szCs w:val="21"/>
          <w:highlight w:val="none"/>
        </w:rPr>
        <w:t>法定代表人：（签字）</w:t>
      </w:r>
    </w:p>
    <w:p w14:paraId="206FE8CD">
      <w:pPr>
        <w:autoSpaceDE w:val="0"/>
        <w:autoSpaceDN w:val="0"/>
        <w:adjustRightInd w:val="0"/>
        <w:spacing w:line="360" w:lineRule="auto"/>
        <w:ind w:firstLine="480"/>
        <w:rPr>
          <w:rFonts w:hint="eastAsia" w:ascii="宋体" w:hAnsi="宋体" w:cs="宋体"/>
          <w:bCs/>
          <w:color w:val="000000"/>
          <w:szCs w:val="21"/>
          <w:highlight w:val="none"/>
        </w:rPr>
      </w:pPr>
    </w:p>
    <w:p w14:paraId="4AAD424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时间：  年  月  日</w:t>
      </w:r>
    </w:p>
    <w:p w14:paraId="044B47E3">
      <w:pPr>
        <w:autoSpaceDE w:val="0"/>
        <w:autoSpaceDN w:val="0"/>
        <w:adjustRightInd w:val="0"/>
        <w:rPr>
          <w:rFonts w:hint="eastAsia" w:ascii="宋体" w:hAnsi="宋体" w:cs="宋体"/>
          <w:b/>
          <w:color w:val="000000"/>
          <w:szCs w:val="21"/>
          <w:highlight w:val="none"/>
          <w:lang w:val="zh-CN"/>
        </w:rPr>
      </w:pPr>
      <w:bookmarkStart w:id="65" w:name="_Toc452632710"/>
      <w:bookmarkStart w:id="66" w:name="_Toc278527999"/>
      <w:bookmarkStart w:id="67" w:name="_Toc238185767"/>
      <w:bookmarkStart w:id="68" w:name="_Toc237236997"/>
      <w:bookmarkStart w:id="69" w:name="_Toc304203375"/>
      <w:bookmarkStart w:id="70" w:name="_Toc237328730"/>
      <w:bookmarkStart w:id="71" w:name="_Toc237200085"/>
      <w:bookmarkStart w:id="72" w:name="_Toc237329052"/>
      <w:bookmarkStart w:id="73" w:name="_Toc237199966"/>
      <w:bookmarkStart w:id="74" w:name="_Toc304203350"/>
      <w:bookmarkStart w:id="75" w:name="_Toc237200209"/>
    </w:p>
    <w:p w14:paraId="26D60CE2">
      <w:pPr>
        <w:jc w:val="center"/>
        <w:rPr>
          <w:rFonts w:hint="eastAsia" w:ascii="宋体" w:hAnsi="宋体" w:cs="宋体"/>
          <w:bCs/>
          <w:color w:val="000000"/>
          <w:sz w:val="30"/>
          <w:szCs w:val="30"/>
          <w:highlight w:val="none"/>
          <w:lang w:val="zh-CN"/>
        </w:rPr>
      </w:pPr>
    </w:p>
    <w:p w14:paraId="4BAA31E4">
      <w:pPr>
        <w:jc w:val="center"/>
        <w:rPr>
          <w:rFonts w:hint="eastAsia" w:ascii="宋体" w:hAnsi="宋体" w:cs="宋体"/>
          <w:bCs/>
          <w:color w:val="000000"/>
          <w:sz w:val="30"/>
          <w:szCs w:val="30"/>
          <w:highlight w:val="none"/>
          <w:lang w:val="zh-CN"/>
        </w:rPr>
      </w:pPr>
    </w:p>
    <w:p w14:paraId="53CC58C2">
      <w:pPr>
        <w:jc w:val="center"/>
        <w:rPr>
          <w:rFonts w:hint="eastAsia" w:ascii="宋体" w:hAnsi="宋体" w:cs="宋体"/>
          <w:bCs/>
          <w:color w:val="000000"/>
          <w:sz w:val="30"/>
          <w:szCs w:val="30"/>
          <w:highlight w:val="none"/>
          <w:lang w:val="zh-CN"/>
        </w:rPr>
      </w:pPr>
    </w:p>
    <w:p w14:paraId="29AB1CD9">
      <w:pPr>
        <w:jc w:val="center"/>
        <w:rPr>
          <w:rFonts w:hint="eastAsia" w:ascii="宋体" w:hAnsi="宋体" w:cs="宋体"/>
          <w:bCs/>
          <w:color w:val="000000"/>
          <w:sz w:val="30"/>
          <w:szCs w:val="30"/>
          <w:highlight w:val="none"/>
          <w:lang w:val="zh-CN"/>
        </w:rPr>
      </w:pPr>
    </w:p>
    <w:p w14:paraId="61C66B13">
      <w:pPr>
        <w:jc w:val="center"/>
        <w:rPr>
          <w:rFonts w:hint="eastAsia" w:ascii="宋体" w:hAnsi="宋体" w:cs="宋体"/>
          <w:bCs/>
          <w:color w:val="000000"/>
          <w:sz w:val="30"/>
          <w:szCs w:val="30"/>
          <w:highlight w:val="none"/>
          <w:lang w:val="zh-CN"/>
        </w:rPr>
      </w:pPr>
    </w:p>
    <w:p w14:paraId="7C4089BF">
      <w:pPr>
        <w:jc w:val="center"/>
        <w:rPr>
          <w:rFonts w:hint="eastAsia" w:ascii="宋体" w:hAnsi="宋体" w:cs="宋体"/>
          <w:bCs/>
          <w:color w:val="000000"/>
          <w:sz w:val="30"/>
          <w:szCs w:val="30"/>
          <w:highlight w:val="none"/>
          <w:lang w:val="zh-CN"/>
        </w:rPr>
      </w:pPr>
    </w:p>
    <w:p w14:paraId="4C12B4A8">
      <w:pPr>
        <w:jc w:val="center"/>
        <w:rPr>
          <w:rFonts w:hint="eastAsia" w:ascii="宋体" w:hAnsi="宋体" w:cs="宋体"/>
          <w:bCs/>
          <w:color w:val="000000"/>
          <w:sz w:val="30"/>
          <w:szCs w:val="30"/>
          <w:highlight w:val="none"/>
          <w:lang w:val="zh-CN"/>
        </w:rPr>
      </w:pPr>
    </w:p>
    <w:p w14:paraId="39F3B1E0">
      <w:pPr>
        <w:jc w:val="center"/>
        <w:rPr>
          <w:rFonts w:hint="eastAsia" w:ascii="宋体" w:hAnsi="宋体" w:cs="宋体"/>
          <w:bCs/>
          <w:color w:val="000000"/>
          <w:sz w:val="30"/>
          <w:szCs w:val="30"/>
          <w:highlight w:val="none"/>
          <w:lang w:val="zh-CN"/>
        </w:rPr>
      </w:pPr>
    </w:p>
    <w:p w14:paraId="05895F99">
      <w:pPr>
        <w:jc w:val="center"/>
        <w:rPr>
          <w:rFonts w:hint="eastAsia" w:ascii="宋体" w:hAnsi="宋体" w:cs="宋体"/>
          <w:bCs/>
          <w:color w:val="000000"/>
          <w:sz w:val="30"/>
          <w:szCs w:val="30"/>
          <w:highlight w:val="none"/>
          <w:lang w:val="zh-CN"/>
        </w:rPr>
      </w:pPr>
    </w:p>
    <w:p w14:paraId="6C17B5FA">
      <w:pPr>
        <w:jc w:val="center"/>
        <w:rPr>
          <w:rFonts w:hint="eastAsia" w:ascii="宋体" w:hAnsi="宋体" w:cs="宋体"/>
          <w:color w:val="000000"/>
          <w:sz w:val="30"/>
          <w:szCs w:val="30"/>
          <w:highlight w:val="none"/>
        </w:rPr>
      </w:pPr>
      <w:r>
        <w:rPr>
          <w:rFonts w:hint="eastAsia" w:ascii="宋体" w:hAnsi="宋体" w:cs="宋体"/>
          <w:bCs/>
          <w:color w:val="000000"/>
          <w:sz w:val="30"/>
          <w:szCs w:val="30"/>
          <w:highlight w:val="none"/>
          <w:lang w:val="zh-CN"/>
        </w:rPr>
        <w:t>八、</w:t>
      </w:r>
      <w:r>
        <w:rPr>
          <w:rFonts w:hint="eastAsia" w:ascii="宋体" w:hAnsi="宋体" w:cs="宋体"/>
          <w:color w:val="000000"/>
          <w:sz w:val="30"/>
          <w:szCs w:val="30"/>
          <w:highlight w:val="none"/>
        </w:rPr>
        <w:t>类似项目业绩统计表</w:t>
      </w:r>
    </w:p>
    <w:p w14:paraId="51CD4E17">
      <w:pPr>
        <w:rPr>
          <w:rFonts w:hint="eastAsia" w:ascii="宋体" w:hAnsi="宋体" w:cs="宋体"/>
          <w:color w:val="000000"/>
          <w:highlight w:val="none"/>
        </w:rPr>
      </w:pPr>
    </w:p>
    <w:tbl>
      <w:tblPr>
        <w:tblStyle w:val="3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709"/>
        <w:gridCol w:w="2348"/>
        <w:gridCol w:w="1980"/>
        <w:gridCol w:w="2340"/>
      </w:tblGrid>
      <w:tr w14:paraId="39129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28" w:type="dxa"/>
            <w:tcBorders>
              <w:top w:val="single" w:color="auto" w:sz="4" w:space="0"/>
              <w:left w:val="single" w:color="auto" w:sz="4" w:space="0"/>
            </w:tcBorders>
            <w:noWrap w:val="0"/>
            <w:vAlign w:val="center"/>
          </w:tcPr>
          <w:p w14:paraId="6C1D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序号</w:t>
            </w:r>
          </w:p>
        </w:tc>
        <w:tc>
          <w:tcPr>
            <w:tcW w:w="1709" w:type="dxa"/>
            <w:tcBorders>
              <w:top w:val="single" w:color="auto" w:sz="4" w:space="0"/>
            </w:tcBorders>
            <w:noWrap w:val="0"/>
            <w:vAlign w:val="center"/>
          </w:tcPr>
          <w:p w14:paraId="6BA779F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项目名称</w:t>
            </w:r>
          </w:p>
        </w:tc>
        <w:tc>
          <w:tcPr>
            <w:tcW w:w="2348" w:type="dxa"/>
            <w:tcBorders>
              <w:top w:val="single" w:color="auto" w:sz="4" w:space="0"/>
            </w:tcBorders>
            <w:noWrap w:val="0"/>
            <w:vAlign w:val="center"/>
          </w:tcPr>
          <w:p w14:paraId="1171CA6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合同内容</w:t>
            </w:r>
          </w:p>
        </w:tc>
        <w:tc>
          <w:tcPr>
            <w:tcW w:w="1980" w:type="dxa"/>
            <w:tcBorders>
              <w:top w:val="single" w:color="auto" w:sz="4" w:space="0"/>
              <w:right w:val="single" w:color="auto" w:sz="4" w:space="0"/>
            </w:tcBorders>
            <w:noWrap w:val="0"/>
            <w:vAlign w:val="center"/>
          </w:tcPr>
          <w:p w14:paraId="1E7177D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采购单位</w:t>
            </w:r>
          </w:p>
        </w:tc>
        <w:tc>
          <w:tcPr>
            <w:tcW w:w="2340" w:type="dxa"/>
            <w:tcBorders>
              <w:top w:val="single" w:color="auto" w:sz="4" w:space="0"/>
              <w:left w:val="single" w:color="auto" w:sz="4" w:space="0"/>
              <w:right w:val="single" w:color="auto" w:sz="4" w:space="0"/>
            </w:tcBorders>
            <w:noWrap w:val="0"/>
            <w:vAlign w:val="center"/>
          </w:tcPr>
          <w:p w14:paraId="3626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合同金额（元）</w:t>
            </w:r>
          </w:p>
        </w:tc>
      </w:tr>
      <w:tr w14:paraId="00390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CA63FB4">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1</w:t>
            </w:r>
          </w:p>
        </w:tc>
        <w:tc>
          <w:tcPr>
            <w:tcW w:w="1709" w:type="dxa"/>
            <w:noWrap w:val="0"/>
            <w:vAlign w:val="center"/>
          </w:tcPr>
          <w:p w14:paraId="397451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5D48AA9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EF4117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7B06E6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7AFA3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26F027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2</w:t>
            </w:r>
          </w:p>
        </w:tc>
        <w:tc>
          <w:tcPr>
            <w:tcW w:w="1709" w:type="dxa"/>
            <w:noWrap w:val="0"/>
            <w:vAlign w:val="center"/>
          </w:tcPr>
          <w:p w14:paraId="4A68CE7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3392CA0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E8C82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A76F8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B953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1418EE9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3</w:t>
            </w:r>
          </w:p>
        </w:tc>
        <w:tc>
          <w:tcPr>
            <w:tcW w:w="1709" w:type="dxa"/>
            <w:noWrap w:val="0"/>
            <w:vAlign w:val="center"/>
          </w:tcPr>
          <w:p w14:paraId="308A115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9B98CB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FD2002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5DEFE8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199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DEB9B9C">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4</w:t>
            </w:r>
          </w:p>
        </w:tc>
        <w:tc>
          <w:tcPr>
            <w:tcW w:w="1709" w:type="dxa"/>
            <w:noWrap w:val="0"/>
            <w:vAlign w:val="center"/>
          </w:tcPr>
          <w:p w14:paraId="7880CD7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09367F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648C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0F9063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BF94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26DBA382">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5</w:t>
            </w:r>
          </w:p>
        </w:tc>
        <w:tc>
          <w:tcPr>
            <w:tcW w:w="1709" w:type="dxa"/>
            <w:noWrap w:val="0"/>
            <w:vAlign w:val="center"/>
          </w:tcPr>
          <w:p w14:paraId="693740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07C1FE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5B597C0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3EC24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9F9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3B49C1AC">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w:t>
            </w:r>
          </w:p>
        </w:tc>
        <w:tc>
          <w:tcPr>
            <w:tcW w:w="1709" w:type="dxa"/>
            <w:noWrap w:val="0"/>
            <w:vAlign w:val="center"/>
          </w:tcPr>
          <w:p w14:paraId="5C95BBA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3C10C2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7F8C77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41CB1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DF95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482029C8">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382FF69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6831610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B16988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58FAB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490F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6B8ADB5C">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5ED49CB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6F08E6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68DED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94478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05A2A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213069A">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4D25EEB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2290C8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2266E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4D7EB3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45496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762C609">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7373C7F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DF8D59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94528E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7AC740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1C3BC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5B81D5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B7E67D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A38BED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039F5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6EB8F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2C774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8A3DBB4">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E8CB4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297000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C83CE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1510F3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FC08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bottom w:val="single" w:color="auto" w:sz="4" w:space="0"/>
            </w:tcBorders>
            <w:noWrap w:val="0"/>
            <w:vAlign w:val="center"/>
          </w:tcPr>
          <w:p w14:paraId="1316FC7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tcBorders>
              <w:bottom w:val="single" w:color="auto" w:sz="4" w:space="0"/>
            </w:tcBorders>
            <w:noWrap w:val="0"/>
            <w:vAlign w:val="center"/>
          </w:tcPr>
          <w:p w14:paraId="38DCE7E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tcBorders>
              <w:bottom w:val="single" w:color="auto" w:sz="4" w:space="0"/>
            </w:tcBorders>
            <w:noWrap w:val="0"/>
            <w:vAlign w:val="center"/>
          </w:tcPr>
          <w:p w14:paraId="163FE4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bottom w:val="single" w:color="auto" w:sz="4" w:space="0"/>
              <w:right w:val="single" w:color="auto" w:sz="4" w:space="0"/>
            </w:tcBorders>
            <w:noWrap w:val="0"/>
            <w:vAlign w:val="center"/>
          </w:tcPr>
          <w:p w14:paraId="66ACD7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bottom w:val="single" w:color="auto" w:sz="4" w:space="0"/>
              <w:right w:val="single" w:color="auto" w:sz="4" w:space="0"/>
            </w:tcBorders>
            <w:noWrap w:val="0"/>
            <w:vAlign w:val="center"/>
          </w:tcPr>
          <w:p w14:paraId="01EAC07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bl>
    <w:p w14:paraId="14A1C933">
      <w:pPr>
        <w:spacing w:before="120" w:line="360" w:lineRule="exact"/>
        <w:ind w:right="357"/>
        <w:rPr>
          <w:rFonts w:hint="eastAsia" w:ascii="宋体" w:hAnsi="宋体" w:cs="宋体"/>
          <w:b/>
          <w:color w:val="000000"/>
          <w:highlight w:val="none"/>
        </w:rPr>
      </w:pPr>
      <w:r>
        <w:rPr>
          <w:rFonts w:hint="eastAsia" w:ascii="宋体" w:hAnsi="宋体" w:cs="宋体"/>
          <w:color w:val="000000"/>
          <w:highlight w:val="none"/>
        </w:rPr>
        <w:t>注：1．投标人应提供双方签订的合同复印件加盖公章</w:t>
      </w:r>
      <w:r>
        <w:rPr>
          <w:rFonts w:hint="eastAsia" w:ascii="宋体" w:hAnsi="宋体" w:cs="宋体"/>
          <w:b/>
          <w:color w:val="000000"/>
          <w:highlight w:val="none"/>
        </w:rPr>
        <w:t>。</w:t>
      </w:r>
    </w:p>
    <w:p w14:paraId="54006A59">
      <w:pPr>
        <w:jc w:val="center"/>
        <w:rPr>
          <w:rFonts w:hint="eastAsia" w:ascii="宋体" w:hAnsi="宋体" w:cs="宋体"/>
          <w:bCs/>
          <w:color w:val="000000"/>
          <w:sz w:val="32"/>
          <w:szCs w:val="32"/>
          <w:highlight w:val="none"/>
          <w:lang w:val="zh-CN"/>
        </w:rPr>
        <w:sectPr>
          <w:pgSz w:w="11906" w:h="16838"/>
          <w:pgMar w:top="1440" w:right="1752" w:bottom="1440" w:left="1797" w:header="851" w:footer="992" w:gutter="0"/>
          <w:cols w:space="720" w:num="1"/>
          <w:docGrid w:linePitch="312" w:charSpace="0"/>
        </w:sectPr>
      </w:pPr>
    </w:p>
    <w:p w14:paraId="1E7EE1FC">
      <w:pPr>
        <w:jc w:val="center"/>
        <w:rPr>
          <w:rFonts w:hint="eastAsia" w:ascii="宋体" w:hAnsi="宋体" w:cs="宋体"/>
          <w:b/>
          <w:color w:val="000000"/>
          <w:sz w:val="30"/>
          <w:szCs w:val="30"/>
          <w:highlight w:val="none"/>
        </w:rPr>
      </w:pPr>
      <w:r>
        <w:rPr>
          <w:rFonts w:hint="eastAsia" w:ascii="宋体" w:hAnsi="宋体" w:cs="宋体"/>
          <w:bCs/>
          <w:color w:val="000000"/>
          <w:sz w:val="30"/>
          <w:szCs w:val="30"/>
          <w:highlight w:val="none"/>
        </w:rPr>
        <w:t>九</w:t>
      </w:r>
      <w:r>
        <w:rPr>
          <w:rFonts w:hint="eastAsia" w:ascii="宋体" w:hAnsi="宋体" w:cs="宋体"/>
          <w:bCs/>
          <w:color w:val="000000"/>
          <w:sz w:val="30"/>
          <w:szCs w:val="30"/>
          <w:highlight w:val="none"/>
          <w:lang w:val="zh-CN"/>
        </w:rPr>
        <w:t>、</w:t>
      </w:r>
      <w:r>
        <w:rPr>
          <w:rFonts w:hint="eastAsia" w:ascii="宋体" w:hAnsi="宋体" w:cs="宋体"/>
          <w:color w:val="000000"/>
          <w:sz w:val="30"/>
          <w:szCs w:val="30"/>
          <w:highlight w:val="none"/>
        </w:rPr>
        <w:t>服务承诺</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0D6B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8928" w:type="dxa"/>
            <w:noWrap w:val="0"/>
            <w:vAlign w:val="top"/>
          </w:tcPr>
          <w:p w14:paraId="5058050C">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EFC41BF">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62A1477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ACB78C7">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3296EBFB">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6C0269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9079BC4">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133068B9">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787897D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21D97F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665B552">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32A5FDBF">
            <w:pPr>
              <w:keepNext w:val="0"/>
              <w:keepLines w:val="0"/>
              <w:suppressLineNumbers w:val="0"/>
              <w:spacing w:before="0" w:beforeAutospacing="0" w:after="0" w:afterAutospacing="0"/>
              <w:ind w:left="0" w:right="0"/>
              <w:rPr>
                <w:rFonts w:hint="eastAsia" w:ascii="宋体" w:hAnsi="宋体" w:cs="宋体"/>
                <w:color w:val="000000"/>
                <w:highlight w:val="none"/>
              </w:rPr>
            </w:pPr>
          </w:p>
          <w:p w14:paraId="61FBED7D">
            <w:pPr>
              <w:keepNext w:val="0"/>
              <w:keepLines w:val="0"/>
              <w:suppressLineNumbers w:val="0"/>
              <w:spacing w:before="0" w:beforeAutospacing="0" w:after="0" w:afterAutospacing="0"/>
              <w:ind w:left="0" w:right="0"/>
              <w:rPr>
                <w:rFonts w:hint="eastAsia" w:ascii="宋体" w:hAnsi="宋体" w:cs="宋体"/>
                <w:color w:val="000000"/>
                <w:highlight w:val="none"/>
              </w:rPr>
            </w:pPr>
          </w:p>
          <w:p w14:paraId="57523D81">
            <w:pPr>
              <w:keepNext w:val="0"/>
              <w:keepLines w:val="0"/>
              <w:suppressLineNumbers w:val="0"/>
              <w:spacing w:before="0" w:beforeAutospacing="0" w:after="0" w:afterAutospacing="0"/>
              <w:ind w:left="0" w:right="0"/>
              <w:rPr>
                <w:rFonts w:hint="eastAsia" w:ascii="宋体" w:hAnsi="宋体" w:cs="宋体"/>
                <w:color w:val="000000"/>
                <w:highlight w:val="none"/>
              </w:rPr>
            </w:pPr>
          </w:p>
          <w:p w14:paraId="64079628">
            <w:pPr>
              <w:keepNext w:val="0"/>
              <w:keepLines w:val="0"/>
              <w:suppressLineNumbers w:val="0"/>
              <w:spacing w:before="0" w:beforeAutospacing="0" w:after="0" w:afterAutospacing="0"/>
              <w:ind w:left="0" w:right="0"/>
              <w:rPr>
                <w:rFonts w:hint="eastAsia" w:ascii="宋体" w:hAnsi="宋体" w:cs="宋体"/>
                <w:color w:val="000000"/>
                <w:highlight w:val="none"/>
              </w:rPr>
            </w:pPr>
          </w:p>
          <w:p w14:paraId="112B4E32">
            <w:pPr>
              <w:keepNext w:val="0"/>
              <w:keepLines w:val="0"/>
              <w:suppressLineNumbers w:val="0"/>
              <w:spacing w:before="0" w:beforeAutospacing="0" w:after="0" w:afterAutospacing="0"/>
              <w:ind w:left="0" w:right="0"/>
              <w:rPr>
                <w:rFonts w:hint="eastAsia" w:ascii="宋体" w:hAnsi="宋体" w:cs="宋体"/>
                <w:color w:val="000000"/>
                <w:highlight w:val="none"/>
              </w:rPr>
            </w:pPr>
          </w:p>
          <w:p w14:paraId="700675AD">
            <w:pPr>
              <w:keepNext w:val="0"/>
              <w:keepLines w:val="0"/>
              <w:suppressLineNumbers w:val="0"/>
              <w:tabs>
                <w:tab w:val="left" w:pos="6674"/>
              </w:tabs>
              <w:spacing w:before="0" w:beforeAutospacing="0" w:after="0" w:afterAutospacing="0"/>
              <w:ind w:left="0" w:right="0"/>
              <w:jc w:val="left"/>
              <w:rPr>
                <w:rFonts w:hint="eastAsia" w:ascii="宋体" w:hAnsi="宋体" w:cs="宋体"/>
                <w:color w:val="000000"/>
                <w:highlight w:val="none"/>
              </w:rPr>
            </w:pPr>
            <w:r>
              <w:rPr>
                <w:rFonts w:hint="eastAsia" w:ascii="宋体" w:hAnsi="宋体" w:cs="宋体"/>
                <w:color w:val="000000"/>
                <w:highlight w:val="none"/>
              </w:rPr>
              <w:tab/>
            </w:r>
          </w:p>
        </w:tc>
      </w:tr>
    </w:tbl>
    <w:p w14:paraId="7B86ADCA">
      <w:pPr>
        <w:pStyle w:val="19"/>
        <w:spacing w:line="360" w:lineRule="auto"/>
        <w:rPr>
          <w:rFonts w:hint="eastAsia" w:hAnsi="宋体" w:cs="宋体"/>
          <w:b/>
          <w:color w:val="000000"/>
          <w:highlight w:val="none"/>
        </w:rPr>
      </w:pPr>
      <w:r>
        <w:rPr>
          <w:rFonts w:hint="eastAsia" w:hAnsi="宋体" w:cs="宋体"/>
          <w:b/>
          <w:color w:val="000000"/>
          <w:highlight w:val="none"/>
        </w:rPr>
        <w:t>投标人： （盖章）</w:t>
      </w:r>
    </w:p>
    <w:p w14:paraId="1012BFFB">
      <w:pPr>
        <w:pStyle w:val="19"/>
        <w:spacing w:line="360" w:lineRule="auto"/>
        <w:rPr>
          <w:rFonts w:hint="eastAsia" w:hAnsi="宋体" w:cs="宋体"/>
          <w:b/>
          <w:bCs/>
          <w:color w:val="000000"/>
          <w:highlight w:val="none"/>
          <w:lang w:val="zh-CN"/>
        </w:rPr>
      </w:pPr>
      <w:r>
        <w:rPr>
          <w:rFonts w:hint="eastAsia" w:hAnsi="宋体" w:cs="宋体"/>
          <w:b/>
          <w:bCs/>
          <w:color w:val="000000"/>
          <w:highlight w:val="none"/>
          <w:lang w:val="zh-CN"/>
        </w:rPr>
        <w:t>法定代表人或授权委托人：（盖章</w:t>
      </w:r>
      <w:r>
        <w:rPr>
          <w:rFonts w:hint="eastAsia" w:hAnsi="宋体" w:cs="宋体"/>
          <w:b/>
          <w:bCs/>
          <w:color w:val="000000"/>
          <w:highlight w:val="none"/>
        </w:rPr>
        <w:t>或</w:t>
      </w:r>
      <w:r>
        <w:rPr>
          <w:rFonts w:hint="eastAsia" w:hAnsi="宋体" w:cs="宋体"/>
          <w:b/>
          <w:bCs/>
          <w:color w:val="000000"/>
          <w:highlight w:val="none"/>
          <w:lang w:val="zh-CN"/>
        </w:rPr>
        <w:t>签字）</w:t>
      </w:r>
    </w:p>
    <w:p w14:paraId="5EF600F8">
      <w:pPr>
        <w:pStyle w:val="19"/>
        <w:spacing w:line="360" w:lineRule="auto"/>
        <w:rPr>
          <w:rFonts w:hint="eastAsia" w:hAnsi="宋体" w:cs="宋体"/>
          <w:b/>
          <w:color w:val="000000"/>
          <w:highlight w:val="none"/>
        </w:rPr>
      </w:pPr>
      <w:r>
        <w:rPr>
          <w:rFonts w:hint="eastAsia" w:hAnsi="宋体" w:cs="宋体"/>
          <w:b/>
          <w:color w:val="000000"/>
          <w:highlight w:val="none"/>
        </w:rPr>
        <w:t>日    期：</w:t>
      </w:r>
    </w:p>
    <w:p w14:paraId="24BCD41F">
      <w:pPr>
        <w:autoSpaceDE w:val="0"/>
        <w:autoSpaceDN w:val="0"/>
        <w:adjustRightInd w:val="0"/>
        <w:jc w:val="center"/>
        <w:outlineLvl w:val="0"/>
        <w:rPr>
          <w:rFonts w:hint="eastAsia" w:ascii="宋体" w:hAnsi="宋体" w:cs="宋体"/>
          <w:bCs/>
          <w:color w:val="000000"/>
          <w:sz w:val="32"/>
          <w:szCs w:val="32"/>
          <w:highlight w:val="none"/>
          <w:lang w:val="zh-CN"/>
        </w:rPr>
      </w:pPr>
      <w:r>
        <w:rPr>
          <w:rFonts w:hint="eastAsia" w:ascii="宋体" w:hAnsi="宋体" w:cs="宋体"/>
          <w:bCs/>
          <w:color w:val="000000"/>
          <w:sz w:val="32"/>
          <w:szCs w:val="32"/>
          <w:highlight w:val="none"/>
          <w:lang w:val="zh-CN"/>
        </w:rPr>
        <w:br w:type="page"/>
      </w:r>
      <w:bookmarkStart w:id="76" w:name="_Toc471222478"/>
      <w:bookmarkStart w:id="77" w:name="_Toc6307"/>
      <w:r>
        <w:rPr>
          <w:rFonts w:hint="eastAsia" w:ascii="宋体" w:hAnsi="宋体" w:cs="宋体"/>
          <w:bCs/>
          <w:color w:val="000000"/>
          <w:sz w:val="30"/>
          <w:szCs w:val="30"/>
          <w:highlight w:val="none"/>
          <w:lang w:val="zh-CN"/>
        </w:rPr>
        <w:t>十、承诺书</w:t>
      </w:r>
      <w:bookmarkEnd w:id="76"/>
      <w:bookmarkEnd w:id="77"/>
    </w:p>
    <w:p w14:paraId="21F2D5A8">
      <w:pPr>
        <w:autoSpaceDE w:val="0"/>
        <w:autoSpaceDN w:val="0"/>
        <w:adjustRightInd w:val="0"/>
        <w:rPr>
          <w:rFonts w:hint="eastAsia" w:ascii="宋体" w:hAnsi="宋体" w:cs="宋体"/>
          <w:bCs/>
          <w:color w:val="000000"/>
          <w:sz w:val="24"/>
          <w:highlight w:val="none"/>
          <w:lang w:val="zh-CN"/>
        </w:rPr>
      </w:pPr>
    </w:p>
    <w:p w14:paraId="70D441FE">
      <w:pPr>
        <w:autoSpaceDE w:val="0"/>
        <w:autoSpaceDN w:val="0"/>
        <w:adjustRightInd w:val="0"/>
        <w:rPr>
          <w:rFonts w:hint="eastAsia" w:ascii="宋体" w:hAnsi="宋体" w:cs="宋体"/>
          <w:bCs/>
          <w:color w:val="000000"/>
          <w:sz w:val="24"/>
          <w:highlight w:val="none"/>
          <w:lang w:val="zh-CN"/>
        </w:rPr>
      </w:pPr>
    </w:p>
    <w:p w14:paraId="2306D98E">
      <w:pPr>
        <w:snapToGrid w:val="0"/>
        <w:spacing w:line="300" w:lineRule="auto"/>
        <w:ind w:firstLine="420" w:firstLineChars="200"/>
        <w:jc w:val="center"/>
        <w:rPr>
          <w:rFonts w:hint="eastAsia" w:ascii="宋体" w:hAnsi="宋体" w:cs="宋体"/>
          <w:color w:val="000000"/>
          <w:szCs w:val="21"/>
          <w:highlight w:val="none"/>
          <w:lang w:val="zh-CN"/>
        </w:rPr>
      </w:pPr>
      <w:r>
        <w:rPr>
          <w:rFonts w:hint="eastAsia" w:ascii="宋体" w:hAnsi="宋体" w:cs="宋体"/>
          <w:bCs/>
          <w:color w:val="000000"/>
          <w:szCs w:val="21"/>
          <w:highlight w:val="none"/>
          <w:lang w:val="zh-CN"/>
        </w:rPr>
        <w:t>投标人严格按照招标文件要求，提供对应的全部承诺书。格式按要求自拟，不符合招标评标办法及招标文件要求的予以废标。</w:t>
      </w:r>
      <w:r>
        <w:rPr>
          <w:rFonts w:hint="eastAsia" w:ascii="宋体" w:hAnsi="宋体" w:cs="宋体"/>
          <w:bCs/>
          <w:color w:val="000000"/>
          <w:sz w:val="32"/>
          <w:szCs w:val="32"/>
          <w:highlight w:val="none"/>
          <w:lang w:val="zh-CN"/>
        </w:rPr>
        <w:br w:type="page"/>
      </w:r>
      <w:r>
        <w:rPr>
          <w:rFonts w:hint="eastAsia" w:ascii="宋体" w:hAnsi="宋体" w:cs="宋体"/>
          <w:bCs/>
          <w:color w:val="000000"/>
          <w:sz w:val="30"/>
          <w:szCs w:val="30"/>
          <w:highlight w:val="none"/>
          <w:lang w:val="zh-CN"/>
        </w:rPr>
        <w:t>十</w:t>
      </w:r>
      <w:r>
        <w:rPr>
          <w:rFonts w:hint="eastAsia" w:ascii="宋体" w:hAnsi="宋体" w:cs="宋体"/>
          <w:bCs/>
          <w:color w:val="000000"/>
          <w:sz w:val="30"/>
          <w:szCs w:val="30"/>
          <w:highlight w:val="none"/>
        </w:rPr>
        <w:t>一</w:t>
      </w:r>
      <w:r>
        <w:rPr>
          <w:rFonts w:hint="eastAsia" w:ascii="宋体" w:hAnsi="宋体" w:cs="宋体"/>
          <w:bCs/>
          <w:color w:val="000000"/>
          <w:sz w:val="30"/>
          <w:szCs w:val="30"/>
          <w:highlight w:val="none"/>
          <w:lang w:val="zh-CN"/>
        </w:rPr>
        <w:t>、</w:t>
      </w:r>
      <w:r>
        <w:rPr>
          <w:rFonts w:hint="eastAsia" w:ascii="宋体" w:hAnsi="宋体" w:cs="宋体"/>
          <w:bCs/>
          <w:color w:val="000000"/>
          <w:sz w:val="30"/>
          <w:szCs w:val="30"/>
          <w:highlight w:val="none"/>
        </w:rPr>
        <w:t>中小企业声明函</w:t>
      </w:r>
    </w:p>
    <w:p w14:paraId="0B11B7EB">
      <w:pPr>
        <w:autoSpaceDE w:val="0"/>
        <w:autoSpaceDN w:val="0"/>
        <w:spacing w:before="38"/>
        <w:ind w:left="1482" w:right="1677"/>
        <w:jc w:val="center"/>
        <w:outlineLvl w:val="1"/>
        <w:rPr>
          <w:rFonts w:ascii="宋体" w:hAnsi="宋体" w:cs="宋体"/>
          <w:sz w:val="24"/>
          <w:highlight w:val="none"/>
          <w:lang w:val="zh-CN" w:bidi="zh-CN"/>
        </w:rPr>
      </w:pPr>
      <w:bookmarkStart w:id="78" w:name="_Toc10141"/>
      <w:r>
        <w:rPr>
          <w:rFonts w:hint="eastAsia" w:ascii="宋体" w:hAnsi="宋体" w:cs="宋体"/>
          <w:sz w:val="24"/>
          <w:highlight w:val="none"/>
          <w:lang w:val="zh-CN" w:bidi="zh-CN"/>
        </w:rPr>
        <w:t>中小企业声明函（</w:t>
      </w:r>
      <w:r>
        <w:rPr>
          <w:rFonts w:hint="eastAsia" w:ascii="宋体" w:hAnsi="宋体" w:cs="宋体"/>
          <w:sz w:val="24"/>
          <w:highlight w:val="none"/>
          <w:lang w:val="en-US" w:bidi="zh-CN"/>
        </w:rPr>
        <w:t>其他服务业</w:t>
      </w:r>
      <w:r>
        <w:rPr>
          <w:rFonts w:hint="eastAsia" w:ascii="宋体" w:hAnsi="宋体" w:cs="宋体"/>
          <w:sz w:val="24"/>
          <w:highlight w:val="none"/>
          <w:lang w:val="zh-CN" w:bidi="zh-CN"/>
        </w:rPr>
        <w:t>）</w:t>
      </w:r>
      <w:bookmarkEnd w:id="78"/>
    </w:p>
    <w:p w14:paraId="52E1BD40">
      <w:pPr>
        <w:pStyle w:val="72"/>
        <w:spacing w:line="360" w:lineRule="auto"/>
        <w:ind w:right="157" w:firstLine="642"/>
        <w:rPr>
          <w:color w:val="auto"/>
          <w:highlight w:val="none"/>
        </w:rPr>
      </w:pPr>
    </w:p>
    <w:p w14:paraId="2FB8B94F">
      <w:pPr>
        <w:pStyle w:val="73"/>
        <w:spacing w:line="360" w:lineRule="auto"/>
        <w:ind w:firstLine="480" w:firstLineChars="200"/>
        <w:rPr>
          <w:rFonts w:hint="eastAsia"/>
          <w:color w:val="auto"/>
          <w:highlight w:val="none"/>
          <w:lang w:val="zh-CN"/>
        </w:rPr>
      </w:pPr>
      <w:r>
        <w:rPr>
          <w:rFonts w:hint="eastAsia"/>
          <w:color w:val="auto"/>
          <w:highlight w:val="none"/>
          <w:lang w:val="zh-CN"/>
        </w:rPr>
        <w:t>本公司（联合体）郑重声明，根据《政府采购促进中小企业发展管理办法》（财库﹝2020﹞46 号）的规定，本公司（联合体）参加（长春市绿园区教育局）的（项目名称）采购活动，工程的施工单位全部为符合政策要求的中小企业（或者：服务全部由符合政策要求的中小企业承接）。相关企业（含联合体中的中小企业、签订分包意向协议的中小企业）的具体情况如下：</w:t>
      </w:r>
    </w:p>
    <w:p w14:paraId="065DE7E9">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eastAsia="宋体"/>
          <w:color w:val="auto"/>
          <w:highlight w:val="none"/>
          <w:u w:val="single"/>
          <w:lang w:val="en-US" w:eastAsia="zh-CN"/>
        </w:rPr>
        <w:t>其他服务业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w:t>
      </w:r>
      <w:r>
        <w:rPr>
          <w:rFonts w:hint="eastAsia"/>
          <w:color w:val="auto"/>
          <w:highlight w:val="none"/>
          <w:vertAlign w:val="superscript"/>
          <w:lang w:val="zh-CN"/>
        </w:rPr>
        <w:fldChar w:fldCharType="begin"/>
      </w:r>
      <w:r>
        <w:rPr>
          <w:rFonts w:hint="eastAsia"/>
          <w:color w:val="auto"/>
          <w:highlight w:val="none"/>
          <w:vertAlign w:val="superscript"/>
          <w:lang w:val="zh-CN"/>
        </w:rPr>
        <w:instrText xml:space="preserve"> HYPERLINK \l "_bookmark1" </w:instrText>
      </w:r>
      <w:r>
        <w:rPr>
          <w:rFonts w:hint="eastAsia"/>
          <w:color w:val="auto"/>
          <w:highlight w:val="none"/>
          <w:vertAlign w:val="superscript"/>
          <w:lang w:val="zh-CN"/>
        </w:rPr>
        <w:fldChar w:fldCharType="separate"/>
      </w:r>
      <w:r>
        <w:rPr>
          <w:rFonts w:hint="eastAsia"/>
          <w:color w:val="auto"/>
          <w:highlight w:val="none"/>
          <w:vertAlign w:val="superscript"/>
          <w:lang w:val="zh-CN"/>
        </w:rPr>
        <w:t>1</w:t>
      </w:r>
      <w:r>
        <w:rPr>
          <w:rFonts w:hint="eastAsia"/>
          <w:color w:val="auto"/>
          <w:highlight w:val="none"/>
          <w:vertAlign w:val="superscript"/>
          <w:lang w:val="zh-CN"/>
        </w:rPr>
        <w:fldChar w:fldCharType="end"/>
      </w:r>
      <w:r>
        <w:rPr>
          <w:rFonts w:hint="eastAsia"/>
          <w:color w:val="auto"/>
          <w:highlight w:val="none"/>
          <w:lang w:val="zh-CN"/>
        </w:rPr>
        <w:t>，属于</w:t>
      </w:r>
      <w:r>
        <w:rPr>
          <w:rFonts w:hint="eastAsia"/>
          <w:color w:val="auto"/>
          <w:highlight w:val="none"/>
          <w:u w:val="single"/>
          <w:lang w:val="zh-CN"/>
        </w:rPr>
        <w:t>（中型企业、小型企业、微型企业）</w:t>
      </w:r>
      <w:r>
        <w:rPr>
          <w:rFonts w:hint="eastAsia"/>
          <w:color w:val="auto"/>
          <w:highlight w:val="none"/>
          <w:lang w:val="zh-CN"/>
        </w:rPr>
        <w:t>；</w:t>
      </w:r>
    </w:p>
    <w:p w14:paraId="068FBE32">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color w:val="auto"/>
          <w:highlight w:val="none"/>
          <w:u w:val="single"/>
          <w:lang w:val="zh-CN"/>
        </w:rPr>
        <w:t>租赁和商务服务业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万元，属于</w:t>
      </w:r>
      <w:r>
        <w:rPr>
          <w:rFonts w:hint="eastAsia"/>
          <w:color w:val="auto"/>
          <w:highlight w:val="none"/>
          <w:u w:val="single"/>
          <w:lang w:val="zh-CN"/>
        </w:rPr>
        <w:t>（中型企业、小型企业、微型企业）</w:t>
      </w:r>
      <w:r>
        <w:rPr>
          <w:rFonts w:hint="eastAsia"/>
          <w:color w:val="auto"/>
          <w:highlight w:val="none"/>
          <w:lang w:val="zh-CN"/>
        </w:rPr>
        <w:t>；</w:t>
      </w:r>
    </w:p>
    <w:p w14:paraId="6B049C4A">
      <w:pPr>
        <w:pStyle w:val="73"/>
        <w:spacing w:line="360" w:lineRule="auto"/>
        <w:ind w:firstLine="480" w:firstLineChars="200"/>
        <w:rPr>
          <w:rFonts w:hint="eastAsia"/>
          <w:color w:val="auto"/>
          <w:highlight w:val="none"/>
          <w:lang w:val="zh-CN"/>
        </w:rPr>
      </w:pPr>
      <w:r>
        <w:rPr>
          <w:rFonts w:hint="eastAsia"/>
          <w:color w:val="auto"/>
          <w:highlight w:val="none"/>
          <w:lang w:val="zh-CN"/>
        </w:rPr>
        <w:t>……</w:t>
      </w:r>
    </w:p>
    <w:p w14:paraId="166A300D">
      <w:pPr>
        <w:pStyle w:val="73"/>
        <w:spacing w:line="360" w:lineRule="auto"/>
        <w:ind w:firstLine="480" w:firstLineChars="200"/>
        <w:rPr>
          <w:rFonts w:hint="eastAsia"/>
          <w:color w:val="auto"/>
          <w:highlight w:val="none"/>
          <w:lang w:val="zh-CN"/>
        </w:rPr>
      </w:pPr>
      <w:r>
        <w:rPr>
          <w:rFonts w:hint="eastAsia"/>
          <w:color w:val="auto"/>
          <w:highlight w:val="none"/>
          <w:lang w:val="zh-CN"/>
        </w:rPr>
        <w:t>以上企业，不属于大企业的分支机构，不存在控股股东为大企业的情形，也不存在与大企业的负责人为同一人的情形。</w:t>
      </w:r>
    </w:p>
    <w:p w14:paraId="6D4137F0">
      <w:pPr>
        <w:pStyle w:val="73"/>
        <w:spacing w:line="360" w:lineRule="auto"/>
        <w:ind w:firstLine="480" w:firstLineChars="200"/>
        <w:rPr>
          <w:rFonts w:hint="eastAsia"/>
          <w:color w:val="auto"/>
          <w:highlight w:val="none"/>
          <w:lang w:val="zh-CN"/>
        </w:rPr>
      </w:pPr>
      <w:r>
        <w:rPr>
          <w:rFonts w:hint="eastAsia"/>
          <w:color w:val="auto"/>
          <w:highlight w:val="none"/>
          <w:lang w:val="zh-CN"/>
        </w:rPr>
        <w:t>本企业对上述声明内容的真实性负责。如有虚假，将依法承担相应责任。</w:t>
      </w:r>
    </w:p>
    <w:p w14:paraId="733E0659">
      <w:pPr>
        <w:pStyle w:val="73"/>
        <w:spacing w:line="360" w:lineRule="auto"/>
        <w:ind w:firstLine="480" w:firstLineChars="200"/>
        <w:rPr>
          <w:rFonts w:hint="eastAsia"/>
          <w:color w:val="auto"/>
          <w:highlight w:val="none"/>
          <w:lang w:val="zh-CN"/>
        </w:rPr>
      </w:pPr>
    </w:p>
    <w:p w14:paraId="5D7FF0E4">
      <w:pPr>
        <w:pStyle w:val="75"/>
        <w:spacing w:line="360" w:lineRule="auto"/>
        <w:ind w:left="4416" w:leftChars="1960" w:hanging="300" w:hangingChars="125"/>
        <w:rPr>
          <w:color w:val="auto"/>
          <w:highlight w:val="none"/>
        </w:rPr>
      </w:pPr>
    </w:p>
    <w:p w14:paraId="31EE59D2">
      <w:pPr>
        <w:pStyle w:val="73"/>
        <w:rPr>
          <w:color w:val="auto"/>
          <w:highlight w:val="none"/>
        </w:rPr>
      </w:pPr>
    </w:p>
    <w:p w14:paraId="3D6CDF28">
      <w:pPr>
        <w:pStyle w:val="73"/>
        <w:rPr>
          <w:color w:val="auto"/>
          <w:highlight w:val="none"/>
        </w:rPr>
      </w:pPr>
    </w:p>
    <w:p w14:paraId="3E997D21">
      <w:pPr>
        <w:pStyle w:val="75"/>
        <w:spacing w:line="360" w:lineRule="auto"/>
        <w:rPr>
          <w:color w:val="auto"/>
          <w:highlight w:val="none"/>
        </w:rPr>
      </w:pPr>
      <w:r>
        <w:rPr>
          <w:rFonts w:hint="eastAsia"/>
          <w:color w:val="auto"/>
          <w:highlight w:val="none"/>
        </w:rPr>
        <w:t>企业名称（盖章）：</w:t>
      </w:r>
    </w:p>
    <w:p w14:paraId="65D3BAA9">
      <w:pPr>
        <w:pStyle w:val="75"/>
        <w:spacing w:line="360" w:lineRule="auto"/>
        <w:rPr>
          <w:color w:val="auto"/>
          <w:highlight w:val="none"/>
        </w:rPr>
      </w:pPr>
      <w:r>
        <w:rPr>
          <w:rFonts w:hint="eastAsia"/>
          <w:color w:val="auto"/>
          <w:highlight w:val="none"/>
        </w:rPr>
        <w:t xml:space="preserve">日期： </w:t>
      </w:r>
    </w:p>
    <w:p w14:paraId="0E0AE3E3">
      <w:pPr>
        <w:pStyle w:val="73"/>
        <w:rPr>
          <w:color w:val="auto"/>
          <w:highlight w:val="none"/>
        </w:rPr>
      </w:pPr>
    </w:p>
    <w:p w14:paraId="5FEA34FE">
      <w:pPr>
        <w:pStyle w:val="73"/>
        <w:rPr>
          <w:color w:val="auto"/>
          <w:highlight w:val="none"/>
        </w:rPr>
      </w:pPr>
    </w:p>
    <w:p w14:paraId="72848CE9">
      <w:pPr>
        <w:pStyle w:val="73"/>
        <w:rPr>
          <w:color w:val="auto"/>
          <w:highlight w:val="none"/>
        </w:rPr>
      </w:pPr>
    </w:p>
    <w:p w14:paraId="67795591">
      <w:pPr>
        <w:pStyle w:val="73"/>
        <w:rPr>
          <w:color w:val="auto"/>
          <w:highlight w:val="none"/>
        </w:rPr>
      </w:pPr>
    </w:p>
    <w:p w14:paraId="39CCE4BC">
      <w:pPr>
        <w:pStyle w:val="73"/>
        <w:rPr>
          <w:color w:val="auto"/>
          <w:highlight w:val="none"/>
        </w:rPr>
      </w:pPr>
    </w:p>
    <w:p w14:paraId="5FB71EAB">
      <w:pPr>
        <w:pStyle w:val="73"/>
        <w:rPr>
          <w:color w:val="auto"/>
          <w:highlight w:val="none"/>
        </w:rPr>
      </w:pPr>
    </w:p>
    <w:p w14:paraId="58DC189D">
      <w:pPr>
        <w:pStyle w:val="75"/>
        <w:spacing w:line="240" w:lineRule="auto"/>
        <w:rPr>
          <w:color w:val="auto"/>
          <w:highlight w:val="none"/>
          <w:vertAlign w:val="superscript"/>
        </w:rPr>
      </w:pPr>
      <w:r>
        <w:rPr>
          <w:rFonts w:hint="eastAsia"/>
          <w:color w:val="auto"/>
          <w:highlight w:val="none"/>
          <w:vertAlign w:val="superscript"/>
        </w:rPr>
        <w:t xml:space="preserve"> </w:t>
      </w:r>
    </w:p>
    <w:p w14:paraId="33BCE225">
      <w:pPr>
        <w:pStyle w:val="75"/>
        <w:pBdr>
          <w:top w:val="single" w:color="auto" w:sz="4" w:space="1"/>
          <w:left w:val="none" w:color="auto" w:sz="0" w:space="4"/>
          <w:bottom w:val="none" w:color="auto" w:sz="0" w:space="1"/>
          <w:right w:val="none" w:color="auto" w:sz="0" w:space="4"/>
        </w:pBdr>
        <w:spacing w:line="240" w:lineRule="auto"/>
        <w:rPr>
          <w:rFonts w:hint="eastAsia" w:eastAsia="宋体"/>
          <w:sz w:val="21"/>
          <w:szCs w:val="21"/>
          <w:highlight w:val="none"/>
        </w:rPr>
        <w:sectPr>
          <w:footerReference r:id="rId14" w:type="first"/>
          <w:footerReference r:id="rId13" w:type="default"/>
          <w:pgSz w:w="11906" w:h="16838"/>
          <w:pgMar w:top="1304" w:right="1247" w:bottom="1304" w:left="1361" w:header="851" w:footer="992" w:gutter="0"/>
          <w:cols w:space="720" w:num="1"/>
          <w:titlePg/>
          <w:docGrid w:linePitch="312" w:charSpace="0"/>
        </w:sectPr>
      </w:pPr>
      <w:r>
        <w:rPr>
          <w:rFonts w:hint="eastAsia"/>
          <w:color w:val="auto"/>
          <w:highlight w:val="none"/>
        </w:rPr>
        <w:t>从业人员、营业收入、资产总额填报上一年度数据，无上一年度数据的新成立企业可不填</w:t>
      </w:r>
    </w:p>
    <w:p w14:paraId="7082CBB1">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第二部分  技术文件</w:t>
      </w:r>
    </w:p>
    <w:p w14:paraId="706C991B">
      <w:pPr>
        <w:autoSpaceDE w:val="0"/>
        <w:autoSpaceDN w:val="0"/>
        <w:adjustRightInd w:val="0"/>
        <w:spacing w:line="360" w:lineRule="auto"/>
        <w:rPr>
          <w:rFonts w:hint="eastAsia" w:ascii="宋体" w:hAnsi="宋体" w:cs="宋体"/>
          <w:bCs/>
          <w:color w:val="000000"/>
          <w:sz w:val="30"/>
          <w:szCs w:val="30"/>
          <w:highlight w:val="none"/>
        </w:rPr>
      </w:pPr>
    </w:p>
    <w:p w14:paraId="1CB63BF0">
      <w:pPr>
        <w:pStyle w:val="73"/>
        <w:rPr>
          <w:rFonts w:hint="eastAsia" w:eastAsia="宋体"/>
          <w:highlight w:val="none"/>
        </w:rPr>
      </w:pPr>
      <w:r>
        <w:rPr>
          <w:rFonts w:hint="eastAsia" w:eastAsia="宋体"/>
          <w:highlight w:val="none"/>
        </w:rPr>
        <w:t>根据评标办法要求依次列出</w:t>
      </w:r>
    </w:p>
    <w:p w14:paraId="5F33A775">
      <w:pPr>
        <w:pStyle w:val="73"/>
        <w:rPr>
          <w:rFonts w:hint="eastAsia" w:eastAsia="宋体"/>
          <w:highlight w:val="none"/>
        </w:rPr>
      </w:pPr>
      <w:r>
        <w:rPr>
          <w:rFonts w:hint="eastAsia" w:eastAsia="宋体"/>
          <w:highlight w:val="none"/>
        </w:rPr>
        <w:t>人员配备格式一：</w:t>
      </w:r>
    </w:p>
    <w:p w14:paraId="64AD4721">
      <w:pPr>
        <w:spacing w:line="400" w:lineRule="exact"/>
        <w:ind w:firstLine="723" w:firstLineChars="300"/>
        <w:jc w:val="center"/>
        <w:rPr>
          <w:rFonts w:hint="default" w:ascii="宋体" w:hAnsi="宋体" w:eastAsia="宋体"/>
          <w:b/>
          <w:sz w:val="24"/>
          <w:highlight w:val="none"/>
          <w:lang w:val="en-US" w:eastAsia="zh-CN"/>
        </w:rPr>
      </w:pPr>
      <w:r>
        <w:rPr>
          <w:rFonts w:hint="eastAsia" w:ascii="宋体" w:hAnsi="宋体"/>
          <w:b/>
          <w:sz w:val="24"/>
          <w:highlight w:val="none"/>
        </w:rPr>
        <w:t>主要负责人员</w:t>
      </w:r>
      <w:r>
        <w:rPr>
          <w:rFonts w:hint="eastAsia" w:ascii="宋体" w:hAnsi="宋体"/>
          <w:b/>
          <w:sz w:val="24"/>
          <w:highlight w:val="none"/>
          <w:lang w:val="en-US" w:eastAsia="zh-CN"/>
        </w:rPr>
        <w:t>和管理人员</w:t>
      </w:r>
    </w:p>
    <w:p w14:paraId="36A40168">
      <w:pPr>
        <w:spacing w:line="400" w:lineRule="exact"/>
        <w:ind w:firstLine="720" w:firstLineChars="300"/>
        <w:rPr>
          <w:rFonts w:ascii="宋体" w:hAnsi="宋体"/>
          <w:sz w:val="24"/>
          <w:highlight w:val="none"/>
        </w:rPr>
      </w:pPr>
    </w:p>
    <w:tbl>
      <w:tblPr>
        <w:tblStyle w:val="38"/>
        <w:tblW w:w="948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133"/>
        <w:gridCol w:w="850"/>
        <w:gridCol w:w="991"/>
        <w:gridCol w:w="850"/>
        <w:gridCol w:w="1273"/>
        <w:gridCol w:w="1416"/>
        <w:gridCol w:w="2123"/>
      </w:tblGrid>
      <w:tr w14:paraId="0EFB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1FAAB3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序号</w:t>
            </w:r>
          </w:p>
        </w:tc>
        <w:tc>
          <w:tcPr>
            <w:tcW w:w="1133" w:type="dxa"/>
            <w:noWrap w:val="0"/>
            <w:vAlign w:val="top"/>
          </w:tcPr>
          <w:p w14:paraId="6C2BF0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姓名</w:t>
            </w:r>
          </w:p>
        </w:tc>
        <w:tc>
          <w:tcPr>
            <w:tcW w:w="850" w:type="dxa"/>
            <w:noWrap w:val="0"/>
            <w:vAlign w:val="top"/>
          </w:tcPr>
          <w:p w14:paraId="45145D1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职位</w:t>
            </w:r>
          </w:p>
        </w:tc>
        <w:tc>
          <w:tcPr>
            <w:tcW w:w="991" w:type="dxa"/>
            <w:noWrap w:val="0"/>
            <w:vAlign w:val="top"/>
          </w:tcPr>
          <w:p w14:paraId="1597AA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年龄</w:t>
            </w:r>
          </w:p>
        </w:tc>
        <w:tc>
          <w:tcPr>
            <w:tcW w:w="850" w:type="dxa"/>
            <w:noWrap w:val="0"/>
            <w:vAlign w:val="top"/>
          </w:tcPr>
          <w:p w14:paraId="2A8DCC7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学历</w:t>
            </w:r>
          </w:p>
        </w:tc>
        <w:tc>
          <w:tcPr>
            <w:tcW w:w="1273" w:type="dxa"/>
            <w:noWrap w:val="0"/>
            <w:vAlign w:val="top"/>
          </w:tcPr>
          <w:p w14:paraId="239BD4B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发证时间</w:t>
            </w:r>
          </w:p>
        </w:tc>
        <w:tc>
          <w:tcPr>
            <w:tcW w:w="1416" w:type="dxa"/>
            <w:noWrap w:val="0"/>
            <w:vAlign w:val="top"/>
          </w:tcPr>
          <w:p w14:paraId="7A53166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驾照类别</w:t>
            </w:r>
          </w:p>
        </w:tc>
        <w:tc>
          <w:tcPr>
            <w:tcW w:w="2123" w:type="dxa"/>
            <w:noWrap w:val="0"/>
            <w:vAlign w:val="top"/>
          </w:tcPr>
          <w:p w14:paraId="7168EF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从事本工作时间</w:t>
            </w:r>
          </w:p>
        </w:tc>
      </w:tr>
      <w:tr w14:paraId="101D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7A0AB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w:t>
            </w:r>
          </w:p>
        </w:tc>
        <w:tc>
          <w:tcPr>
            <w:tcW w:w="1133" w:type="dxa"/>
            <w:noWrap w:val="0"/>
            <w:vAlign w:val="top"/>
          </w:tcPr>
          <w:p w14:paraId="3E2C9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3210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6968D1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7752D1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5AFA34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259AE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7891C0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0226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3609F8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w:t>
            </w:r>
          </w:p>
        </w:tc>
        <w:tc>
          <w:tcPr>
            <w:tcW w:w="1133" w:type="dxa"/>
            <w:noWrap w:val="0"/>
            <w:vAlign w:val="top"/>
          </w:tcPr>
          <w:p w14:paraId="576858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401C18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05363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A1EB6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EECCD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061E79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BD408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6BED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3FAF239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w:t>
            </w:r>
          </w:p>
        </w:tc>
        <w:tc>
          <w:tcPr>
            <w:tcW w:w="1133" w:type="dxa"/>
            <w:noWrap w:val="0"/>
            <w:vAlign w:val="top"/>
          </w:tcPr>
          <w:p w14:paraId="12F1DD6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7B9ED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A91ACA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A3E2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4A0A6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18A76A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882DE8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97F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DCE483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w:t>
            </w:r>
          </w:p>
        </w:tc>
        <w:tc>
          <w:tcPr>
            <w:tcW w:w="1133" w:type="dxa"/>
            <w:noWrap w:val="0"/>
            <w:vAlign w:val="top"/>
          </w:tcPr>
          <w:p w14:paraId="670E0AF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098442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569569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E4539C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8CB08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E6FE15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712A122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5F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C5E9FE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4C23883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674229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2FE7E4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030F2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5E34D10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85BAC7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069280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2FA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2850D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15A5C3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23204B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D12F6A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64A4D43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02B6AC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A2AA1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C5C8A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B04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01FBF3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746C0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ABF81A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B5187B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48D22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3958B5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982737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188196E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A36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69174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938B67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93A405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17E8E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AC896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D8639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6BDE93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4AA7CF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F8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7235C12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82185F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9B2500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0788E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FEA63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7C272AE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299D92D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589BF5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D15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16E88C0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21C40C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D01626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70D77B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5DAFD2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B9CE8E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E0837E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2D8D1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58A4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33EA4B0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04C2D3D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1F3441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BE207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8D3711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84FBA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C30E12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32163C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A74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2126FE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0CA097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EA71C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33841F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FF7F9B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F4809B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EC1B7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30AF5C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bl>
    <w:p w14:paraId="6BA4477E">
      <w:pPr>
        <w:spacing w:line="400" w:lineRule="exact"/>
        <w:rPr>
          <w:rFonts w:ascii="宋体" w:hAnsi="宋体"/>
          <w:sz w:val="24"/>
          <w:highlight w:val="none"/>
        </w:rPr>
      </w:pPr>
      <w:r>
        <w:rPr>
          <w:rFonts w:hint="eastAsia" w:ascii="宋体" w:hAnsi="宋体" w:cs="宋体"/>
          <w:szCs w:val="21"/>
          <w:highlight w:val="none"/>
        </w:rPr>
        <w:t>注：投标人必须附上有关人员身份证、劳动合同、</w:t>
      </w:r>
      <w:r>
        <w:rPr>
          <w:rFonts w:hint="eastAsia" w:ascii="宋体" w:hAnsi="宋体" w:cs="宋体"/>
          <w:szCs w:val="21"/>
          <w:highlight w:val="none"/>
          <w:lang w:val="en-US" w:eastAsia="zh-CN"/>
        </w:rPr>
        <w:t>社保</w:t>
      </w:r>
      <w:r>
        <w:rPr>
          <w:rFonts w:hint="eastAsia" w:ascii="宋体" w:hAnsi="宋体" w:cs="宋体"/>
          <w:szCs w:val="21"/>
          <w:highlight w:val="none"/>
        </w:rPr>
        <w:t>证明</w:t>
      </w:r>
      <w:r>
        <w:rPr>
          <w:rFonts w:hint="eastAsia" w:ascii="宋体" w:hAnsi="宋体" w:cs="宋体"/>
          <w:szCs w:val="21"/>
          <w:highlight w:val="none"/>
          <w:lang w:val="en-US" w:eastAsia="zh-CN"/>
        </w:rPr>
        <w:t>等</w:t>
      </w:r>
      <w:r>
        <w:rPr>
          <w:rFonts w:hint="eastAsia" w:ascii="宋体" w:hAnsi="宋体" w:cs="宋体"/>
          <w:szCs w:val="21"/>
          <w:highlight w:val="none"/>
        </w:rPr>
        <w:t>材料复印件</w:t>
      </w:r>
      <w:r>
        <w:rPr>
          <w:rFonts w:hint="eastAsia" w:ascii="宋体" w:hAnsi="宋体" w:cs="宋体"/>
          <w:bCs/>
          <w:szCs w:val="21"/>
          <w:highlight w:val="none"/>
          <w:lang w:val="zh-CN"/>
        </w:rPr>
        <w:t>。</w:t>
      </w:r>
    </w:p>
    <w:p w14:paraId="50B65E12">
      <w:pPr>
        <w:pStyle w:val="73"/>
        <w:rPr>
          <w:rFonts w:hint="eastAsia" w:eastAsia="宋体"/>
          <w:bCs/>
          <w:sz w:val="30"/>
          <w:szCs w:val="30"/>
          <w:highlight w:val="none"/>
        </w:rPr>
      </w:pPr>
    </w:p>
    <w:p w14:paraId="2E3E7766">
      <w:pPr>
        <w:pStyle w:val="73"/>
        <w:rPr>
          <w:rFonts w:hint="eastAsia" w:eastAsia="宋体"/>
          <w:bCs/>
          <w:sz w:val="30"/>
          <w:szCs w:val="30"/>
          <w:highlight w:val="none"/>
        </w:rPr>
      </w:pPr>
    </w:p>
    <w:p w14:paraId="609DDBC3">
      <w:pPr>
        <w:pStyle w:val="73"/>
        <w:rPr>
          <w:rFonts w:hint="eastAsia" w:eastAsia="宋体"/>
          <w:bCs/>
          <w:sz w:val="30"/>
          <w:szCs w:val="30"/>
          <w:highlight w:val="none"/>
        </w:rPr>
      </w:pPr>
    </w:p>
    <w:p w14:paraId="21402F81">
      <w:pPr>
        <w:pStyle w:val="73"/>
        <w:rPr>
          <w:rFonts w:hint="eastAsia" w:eastAsia="宋体"/>
          <w:bCs/>
          <w:sz w:val="30"/>
          <w:szCs w:val="30"/>
          <w:highlight w:val="none"/>
        </w:rPr>
      </w:pPr>
    </w:p>
    <w:p w14:paraId="15061B98">
      <w:pPr>
        <w:pStyle w:val="73"/>
        <w:rPr>
          <w:rFonts w:hint="eastAsia" w:eastAsia="宋体"/>
          <w:bCs/>
          <w:sz w:val="30"/>
          <w:szCs w:val="30"/>
          <w:highlight w:val="none"/>
        </w:rPr>
      </w:pPr>
    </w:p>
    <w:p w14:paraId="30D4188F">
      <w:pPr>
        <w:pStyle w:val="73"/>
        <w:rPr>
          <w:rFonts w:hint="eastAsia" w:eastAsia="宋体"/>
          <w:bCs/>
          <w:sz w:val="30"/>
          <w:szCs w:val="30"/>
          <w:highlight w:val="none"/>
        </w:rPr>
      </w:pPr>
    </w:p>
    <w:p w14:paraId="25E43037">
      <w:pPr>
        <w:pStyle w:val="73"/>
        <w:rPr>
          <w:rFonts w:hint="eastAsia" w:eastAsia="宋体"/>
          <w:bCs/>
          <w:sz w:val="30"/>
          <w:szCs w:val="30"/>
          <w:highlight w:val="none"/>
        </w:rPr>
      </w:pPr>
    </w:p>
    <w:p w14:paraId="6CB5542C">
      <w:pPr>
        <w:pStyle w:val="73"/>
        <w:rPr>
          <w:rFonts w:hint="eastAsia" w:eastAsia="宋体"/>
          <w:bCs/>
          <w:sz w:val="30"/>
          <w:szCs w:val="30"/>
          <w:highlight w:val="none"/>
        </w:rPr>
      </w:pPr>
    </w:p>
    <w:p w14:paraId="39A6FCB3">
      <w:pPr>
        <w:pStyle w:val="73"/>
        <w:rPr>
          <w:rFonts w:hint="eastAsia" w:eastAsia="宋体"/>
          <w:bCs/>
          <w:sz w:val="30"/>
          <w:szCs w:val="30"/>
          <w:highlight w:val="none"/>
        </w:rPr>
      </w:pPr>
    </w:p>
    <w:p w14:paraId="5DBE8828">
      <w:pPr>
        <w:pStyle w:val="73"/>
        <w:rPr>
          <w:rFonts w:hint="eastAsia" w:eastAsia="宋体"/>
          <w:bCs/>
          <w:sz w:val="30"/>
          <w:szCs w:val="30"/>
          <w:highlight w:val="none"/>
        </w:rPr>
      </w:pPr>
    </w:p>
    <w:p w14:paraId="26276A6D">
      <w:pPr>
        <w:autoSpaceDE w:val="0"/>
        <w:autoSpaceDN w:val="0"/>
        <w:adjustRightInd w:val="0"/>
        <w:spacing w:line="360" w:lineRule="auto"/>
        <w:jc w:val="center"/>
        <w:rPr>
          <w:rFonts w:hint="eastAsia" w:ascii="宋体" w:hAnsi="宋体" w:cs="宋体"/>
          <w:bCs/>
          <w:color w:val="000000"/>
          <w:sz w:val="30"/>
          <w:szCs w:val="30"/>
          <w:highlight w:val="none"/>
        </w:rPr>
      </w:pPr>
      <w:r>
        <w:rPr>
          <w:rFonts w:hint="eastAsia" w:ascii="宋体" w:hAnsi="宋体" w:cs="宋体"/>
          <w:bCs/>
          <w:color w:val="000000"/>
          <w:sz w:val="30"/>
          <w:szCs w:val="30"/>
          <w:highlight w:val="none"/>
        </w:rPr>
        <w:t>第三部分、投标人认为有必要提供的其他材料</w:t>
      </w:r>
    </w:p>
    <w:p w14:paraId="7E13DA20">
      <w:pPr>
        <w:pStyle w:val="19"/>
        <w:spacing w:line="360" w:lineRule="auto"/>
        <w:rPr>
          <w:rFonts w:hint="eastAsia" w:hAnsi="宋体" w:cs="宋体"/>
          <w:b/>
          <w:color w:val="000000"/>
          <w:highlight w:val="none"/>
        </w:rPr>
      </w:pPr>
    </w:p>
    <w:p w14:paraId="2AD03F13">
      <w:pPr>
        <w:ind w:firstLine="525" w:firstLineChars="250"/>
        <w:rPr>
          <w:rFonts w:hint="eastAsia" w:ascii="宋体" w:hAnsi="宋体" w:cs="宋体"/>
          <w:color w:val="000000"/>
          <w:szCs w:val="21"/>
          <w:highlight w:val="none"/>
        </w:rPr>
      </w:pPr>
      <w:r>
        <w:rPr>
          <w:rFonts w:hint="eastAsia" w:ascii="宋体" w:hAnsi="宋体" w:cs="宋体"/>
          <w:color w:val="000000"/>
          <w:szCs w:val="21"/>
          <w:highlight w:val="none"/>
        </w:rPr>
        <w:t>投标人认为需要提供的其他作为评分依据的文件材料。</w:t>
      </w:r>
    </w:p>
    <w:p w14:paraId="3A5CC7A8">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（投标人在投标文件递交前自行检查作为评分依据的文件资料是否已完整提交，投标文件格式中虽未列出但属于评分依据的文件材料，投标人应自行提交，否则，将是投标人的风险。）</w:t>
      </w:r>
    </w:p>
    <w:p w14:paraId="61D177AD">
      <w:pPr>
        <w:spacing w:before="240" w:beforeLines="100" w:after="240" w:afterLines="100" w:line="360" w:lineRule="auto"/>
        <w:jc w:val="center"/>
        <w:rPr>
          <w:rFonts w:hint="eastAsia" w:ascii="宋体" w:hAnsi="宋体" w:cs="宋体"/>
          <w:spacing w:val="20"/>
          <w:sz w:val="24"/>
          <w:highlight w:val="none"/>
        </w:rPr>
      </w:pPr>
    </w:p>
    <w:p w14:paraId="04DC385A">
      <w:pPr>
        <w:spacing w:before="240" w:beforeLines="100" w:after="240" w:afterLines="100" w:line="360" w:lineRule="auto"/>
        <w:jc w:val="center"/>
        <w:rPr>
          <w:rFonts w:hint="eastAsia" w:ascii="宋体" w:hAnsi="宋体" w:cs="宋体"/>
          <w:spacing w:val="20"/>
          <w:sz w:val="24"/>
          <w:highlight w:val="none"/>
        </w:rPr>
      </w:pPr>
    </w:p>
    <w:p w14:paraId="3EFA3117">
      <w:pPr>
        <w:spacing w:before="240" w:beforeLines="100" w:after="240" w:afterLines="100" w:line="360" w:lineRule="auto"/>
        <w:jc w:val="center"/>
        <w:rPr>
          <w:rFonts w:hint="eastAsia" w:ascii="宋体" w:hAnsi="宋体" w:cs="宋体"/>
          <w:spacing w:val="20"/>
          <w:sz w:val="24"/>
          <w:highlight w:val="none"/>
        </w:rPr>
      </w:pPr>
    </w:p>
    <w:p w14:paraId="0B48C843">
      <w:pPr>
        <w:spacing w:before="240" w:beforeLines="100" w:after="240" w:afterLines="100" w:line="360" w:lineRule="auto"/>
        <w:jc w:val="center"/>
        <w:rPr>
          <w:rFonts w:hint="eastAsia" w:ascii="宋体" w:hAnsi="宋体" w:cs="宋体"/>
          <w:spacing w:val="20"/>
          <w:sz w:val="24"/>
          <w:highlight w:val="none"/>
        </w:rPr>
      </w:pPr>
    </w:p>
    <w:p w14:paraId="665F1BF8">
      <w:pPr>
        <w:spacing w:before="240" w:beforeLines="100" w:after="240" w:afterLines="100" w:line="360" w:lineRule="auto"/>
        <w:jc w:val="center"/>
        <w:rPr>
          <w:rFonts w:hint="eastAsia" w:ascii="宋体" w:hAnsi="宋体" w:cs="宋体"/>
          <w:spacing w:val="20"/>
          <w:sz w:val="24"/>
          <w:highlight w:val="none"/>
        </w:rPr>
      </w:pPr>
    </w:p>
    <w:p w14:paraId="2FDB0E08">
      <w:pPr>
        <w:spacing w:before="240" w:beforeLines="100" w:after="240" w:afterLines="100" w:line="360" w:lineRule="auto"/>
        <w:jc w:val="center"/>
        <w:rPr>
          <w:rFonts w:hint="eastAsia" w:ascii="宋体" w:hAnsi="宋体" w:cs="宋体"/>
          <w:spacing w:val="20"/>
          <w:sz w:val="24"/>
          <w:highlight w:val="none"/>
        </w:rPr>
      </w:pPr>
    </w:p>
    <w:p w14:paraId="6657D0D2">
      <w:pPr>
        <w:spacing w:before="240" w:beforeLines="100" w:after="240" w:afterLines="100" w:line="360" w:lineRule="auto"/>
        <w:jc w:val="center"/>
        <w:rPr>
          <w:rFonts w:hint="eastAsia" w:ascii="宋体" w:hAnsi="宋体" w:cs="宋体"/>
          <w:spacing w:val="20"/>
          <w:sz w:val="24"/>
          <w:highlight w:val="none"/>
        </w:rPr>
      </w:pPr>
    </w:p>
    <w:p w14:paraId="75348ED6">
      <w:pPr>
        <w:spacing w:before="240" w:beforeLines="100" w:after="240" w:afterLines="100" w:line="360" w:lineRule="auto"/>
        <w:jc w:val="center"/>
        <w:rPr>
          <w:rFonts w:hint="eastAsia" w:ascii="宋体" w:hAnsi="宋体" w:cs="宋体"/>
          <w:spacing w:val="20"/>
          <w:sz w:val="24"/>
          <w:highlight w:val="none"/>
        </w:rPr>
      </w:pPr>
    </w:p>
    <w:p w14:paraId="77B88619">
      <w:pPr>
        <w:spacing w:before="240" w:beforeLines="100" w:after="240" w:afterLines="100" w:line="360" w:lineRule="auto"/>
        <w:jc w:val="center"/>
        <w:rPr>
          <w:rFonts w:hint="eastAsia" w:ascii="宋体" w:hAnsi="宋体" w:cs="宋体"/>
          <w:spacing w:val="20"/>
          <w:sz w:val="24"/>
          <w:highlight w:val="none"/>
        </w:rPr>
      </w:pPr>
    </w:p>
    <w:p w14:paraId="7B5C7A72">
      <w:pPr>
        <w:spacing w:before="240" w:beforeLines="100" w:after="240" w:afterLines="100" w:line="360" w:lineRule="auto"/>
        <w:jc w:val="center"/>
        <w:rPr>
          <w:rFonts w:hint="eastAsia" w:ascii="宋体" w:hAnsi="宋体" w:cs="宋体"/>
          <w:spacing w:val="20"/>
          <w:sz w:val="24"/>
          <w:highlight w:val="none"/>
        </w:rPr>
      </w:pPr>
    </w:p>
    <w:p w14:paraId="001D39E2">
      <w:pPr>
        <w:spacing w:before="240" w:beforeLines="100" w:after="240" w:afterLines="100" w:line="360" w:lineRule="auto"/>
        <w:jc w:val="center"/>
        <w:rPr>
          <w:rFonts w:hint="eastAsia" w:ascii="宋体" w:hAnsi="宋体" w:cs="宋体"/>
          <w:spacing w:val="20"/>
          <w:sz w:val="24"/>
          <w:highlight w:val="none"/>
        </w:rPr>
      </w:pPr>
    </w:p>
    <w:p w14:paraId="123AA16D">
      <w:pPr>
        <w:spacing w:before="240" w:beforeLines="100" w:after="240" w:afterLines="100" w:line="360" w:lineRule="auto"/>
        <w:jc w:val="center"/>
        <w:rPr>
          <w:rFonts w:hint="eastAsia" w:ascii="宋体" w:hAnsi="宋体" w:cs="宋体"/>
          <w:spacing w:val="20"/>
          <w:sz w:val="24"/>
          <w:highlight w:val="none"/>
        </w:rPr>
      </w:pPr>
    </w:p>
    <w:p w14:paraId="5A1FB40F">
      <w:pPr>
        <w:spacing w:before="240" w:beforeLines="100" w:after="240" w:afterLines="100" w:line="360" w:lineRule="auto"/>
        <w:jc w:val="center"/>
        <w:rPr>
          <w:rFonts w:hint="eastAsia" w:ascii="宋体" w:hAnsi="宋体" w:cs="宋体"/>
          <w:spacing w:val="20"/>
          <w:sz w:val="24"/>
          <w:highlight w:val="none"/>
        </w:rPr>
      </w:pPr>
    </w:p>
    <w:p w14:paraId="7F04E02B">
      <w:pPr>
        <w:spacing w:before="240" w:beforeLines="100" w:after="240" w:afterLines="100" w:line="360" w:lineRule="auto"/>
        <w:jc w:val="center"/>
        <w:rPr>
          <w:rFonts w:hint="eastAsia" w:ascii="宋体" w:hAnsi="宋体" w:cs="宋体"/>
          <w:spacing w:val="20"/>
          <w:sz w:val="24"/>
          <w:highlight w:val="none"/>
        </w:rPr>
      </w:pPr>
    </w:p>
    <w:p w14:paraId="66B5D3AC">
      <w:pPr>
        <w:spacing w:before="240" w:beforeLines="100" w:after="240" w:afterLines="100" w:line="360" w:lineRule="auto"/>
        <w:jc w:val="center"/>
        <w:rPr>
          <w:rFonts w:hint="eastAsia" w:ascii="宋体" w:hAnsi="宋体" w:cs="宋体"/>
          <w:spacing w:val="20"/>
          <w:sz w:val="24"/>
          <w:highlight w:val="none"/>
        </w:rPr>
      </w:pPr>
    </w:p>
    <w:p w14:paraId="1EC57D9B">
      <w:pPr>
        <w:spacing w:before="240" w:beforeLines="100" w:after="240" w:afterLines="100" w:line="360" w:lineRule="auto"/>
        <w:jc w:val="center"/>
        <w:rPr>
          <w:rFonts w:hint="eastAsia" w:ascii="宋体" w:hAnsi="宋体" w:cs="宋体"/>
          <w:spacing w:val="20"/>
          <w:sz w:val="24"/>
          <w:highlight w:val="none"/>
        </w:rPr>
      </w:pPr>
    </w:p>
    <w:p w14:paraId="3C0976C9">
      <w:pPr>
        <w:spacing w:before="240" w:beforeLines="100" w:after="240" w:afterLines="100" w:line="360" w:lineRule="auto"/>
        <w:jc w:val="center"/>
        <w:rPr>
          <w:rFonts w:hint="eastAsia" w:ascii="宋体" w:hAnsi="宋体" w:cs="宋体"/>
          <w:spacing w:val="20"/>
          <w:sz w:val="24"/>
          <w:highlight w:val="none"/>
        </w:rPr>
      </w:pPr>
    </w:p>
    <w:p w14:paraId="7FE16732">
      <w:pPr>
        <w:spacing w:before="240" w:beforeLines="100" w:after="240" w:afterLines="100" w:line="360" w:lineRule="auto"/>
        <w:jc w:val="center"/>
        <w:rPr>
          <w:rFonts w:hint="eastAsia" w:ascii="宋体" w:hAnsi="宋体" w:cs="宋体"/>
          <w:spacing w:val="20"/>
          <w:sz w:val="24"/>
          <w:highlight w:val="none"/>
        </w:rPr>
      </w:pPr>
    </w:p>
    <w:p w14:paraId="79C76B69">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残疾人福利性单位声明函</w:t>
      </w:r>
    </w:p>
    <w:p w14:paraId="31FFDD92">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w:t>
      </w:r>
      <w:r>
        <w:rPr>
          <w:rFonts w:hint="eastAsia" w:ascii="宋体" w:hAnsi="宋体" w:cs="宋体"/>
          <w:spacing w:val="20"/>
          <w:sz w:val="24"/>
          <w:highlight w:val="none"/>
          <w:lang w:val="zh-CN"/>
        </w:rPr>
        <w:t>如有</w:t>
      </w:r>
      <w:r>
        <w:rPr>
          <w:rFonts w:hint="eastAsia" w:ascii="宋体" w:hAnsi="宋体" w:cs="宋体"/>
          <w:spacing w:val="20"/>
          <w:sz w:val="24"/>
          <w:highlight w:val="none"/>
        </w:rPr>
        <w:t>）</w:t>
      </w:r>
    </w:p>
    <w:p w14:paraId="6695E2BA">
      <w:pPr>
        <w:spacing w:line="480" w:lineRule="auto"/>
        <w:ind w:firstLine="720" w:firstLineChars="3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53F54D">
      <w:pPr>
        <w:spacing w:line="48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6C728387">
      <w:pPr>
        <w:spacing w:line="360" w:lineRule="auto"/>
        <w:rPr>
          <w:rFonts w:ascii="宋体" w:hAnsi="宋体" w:cs="宋体"/>
          <w:sz w:val="24"/>
          <w:highlight w:val="none"/>
        </w:rPr>
      </w:pPr>
    </w:p>
    <w:p w14:paraId="53B025B5">
      <w:pPr>
        <w:spacing w:line="360" w:lineRule="auto"/>
        <w:rPr>
          <w:rFonts w:ascii="宋体" w:hAnsi="宋体" w:cs="宋体"/>
          <w:sz w:val="24"/>
          <w:highlight w:val="none"/>
        </w:rPr>
      </w:pPr>
    </w:p>
    <w:p w14:paraId="0931B53A">
      <w:pPr>
        <w:spacing w:line="360" w:lineRule="auto"/>
        <w:rPr>
          <w:rFonts w:ascii="宋体" w:hAnsi="宋体" w:cs="宋体"/>
          <w:sz w:val="24"/>
          <w:highlight w:val="none"/>
          <w:u w:val="singl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p>
    <w:p w14:paraId="3F712CCF">
      <w:pPr>
        <w:spacing w:line="360" w:lineRule="auto"/>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48773CB">
      <w:pPr>
        <w:rPr>
          <w:rFonts w:ascii="宋体" w:hAnsi="宋体" w:cs="宋体"/>
          <w:sz w:val="24"/>
          <w:highlight w:val="none"/>
        </w:rPr>
      </w:pPr>
    </w:p>
    <w:p w14:paraId="3F2ADECB">
      <w:pPr>
        <w:jc w:val="center"/>
        <w:rPr>
          <w:rFonts w:hAnsi="宋体" w:cs="宋体"/>
          <w:spacing w:val="20"/>
          <w:sz w:val="24"/>
          <w:highlight w:val="none"/>
        </w:rPr>
      </w:pPr>
      <w:r>
        <w:rPr>
          <w:rFonts w:hint="eastAsia" w:ascii="宋体" w:hAnsi="宋体" w:cs="宋体"/>
          <w:sz w:val="24"/>
          <w:highlight w:val="none"/>
        </w:rPr>
        <w:br w:type="page"/>
      </w:r>
      <w:r>
        <w:rPr>
          <w:rFonts w:hint="eastAsia" w:hAnsi="宋体" w:cs="宋体"/>
          <w:spacing w:val="20"/>
          <w:sz w:val="24"/>
          <w:highlight w:val="none"/>
        </w:rPr>
        <w:t>监狱企业的证明文件</w:t>
      </w:r>
    </w:p>
    <w:p w14:paraId="49262FC5">
      <w:pPr>
        <w:jc w:val="center"/>
        <w:rPr>
          <w:rFonts w:hAnsi="宋体" w:cs="宋体"/>
          <w:spacing w:val="20"/>
          <w:sz w:val="24"/>
          <w:highlight w:val="none"/>
        </w:rPr>
      </w:pPr>
      <w:r>
        <w:rPr>
          <w:rFonts w:hint="eastAsia" w:hAnsi="宋体" w:cs="宋体"/>
          <w:spacing w:val="20"/>
          <w:sz w:val="24"/>
          <w:highlight w:val="none"/>
        </w:rPr>
        <w:t>（</w:t>
      </w:r>
      <w:r>
        <w:rPr>
          <w:rFonts w:hint="eastAsia" w:hAnsi="宋体" w:cs="宋体"/>
          <w:spacing w:val="20"/>
          <w:sz w:val="24"/>
          <w:highlight w:val="none"/>
          <w:lang w:val="zh-CN"/>
        </w:rPr>
        <w:t>如有</w:t>
      </w:r>
      <w:r>
        <w:rPr>
          <w:rFonts w:hint="eastAsia" w:hAnsi="宋体" w:cs="宋体"/>
          <w:spacing w:val="20"/>
          <w:sz w:val="24"/>
          <w:highlight w:val="none"/>
        </w:rPr>
        <w:t>）</w:t>
      </w:r>
    </w:p>
    <w:p w14:paraId="019DB6A0">
      <w:pPr>
        <w:jc w:val="center"/>
        <w:rPr>
          <w:rFonts w:hAnsi="宋体" w:cs="宋体"/>
          <w:spacing w:val="20"/>
          <w:sz w:val="24"/>
          <w:highlight w:val="none"/>
        </w:rPr>
      </w:pPr>
    </w:p>
    <w:p w14:paraId="28AC160A">
      <w:pPr>
        <w:spacing w:line="440" w:lineRule="exact"/>
        <w:rPr>
          <w:rFonts w:hAnsi="宋体" w:cs="宋体"/>
          <w:sz w:val="24"/>
          <w:highlight w:val="none"/>
        </w:rPr>
      </w:pPr>
      <w:r>
        <w:rPr>
          <w:rFonts w:hint="eastAsia" w:hAnsi="宋体" w:cs="宋体"/>
          <w:sz w:val="24"/>
          <w:highlight w:val="none"/>
        </w:rPr>
        <w:t>说明：监狱企业参加政府采购活动时，应当提供由省级以上监狱管理局、戒毒管理局（含新疆生产建设兵团）出具的属于监狱企业的证明文件并加盖投标单位公章。</w:t>
      </w:r>
    </w:p>
    <w:p w14:paraId="766323EF">
      <w:pPr>
        <w:snapToGrid w:val="0"/>
        <w:spacing w:line="300" w:lineRule="auto"/>
        <w:rPr>
          <w:rFonts w:hint="eastAsia" w:ascii="宋体" w:hAnsi="宋体" w:cs="宋体"/>
          <w:color w:val="000000"/>
          <w:szCs w:val="21"/>
          <w:highlight w:val="none"/>
        </w:rPr>
      </w:pPr>
      <w:r>
        <w:rPr>
          <w:rFonts w:hint="eastAsia" w:ascii="宋体" w:hAnsi="宋体" w:cs="宋体"/>
          <w:color w:val="000000"/>
          <w:szCs w:val="21"/>
          <w:highlight w:val="none"/>
        </w:rPr>
        <w:t xml:space="preserve">                                           </w:t>
      </w:r>
    </w:p>
    <w:p w14:paraId="5B6595F0">
      <w:pPr>
        <w:snapToGrid w:val="0"/>
        <w:spacing w:line="300" w:lineRule="auto"/>
        <w:ind w:firstLine="420" w:firstLineChars="200"/>
        <w:rPr>
          <w:rFonts w:hint="eastAsia" w:ascii="宋体" w:hAnsi="宋体" w:cs="宋体"/>
          <w:color w:val="000000"/>
          <w:szCs w:val="21"/>
          <w:highlight w:val="none"/>
        </w:rPr>
      </w:pPr>
    </w:p>
    <w:p w14:paraId="709A6FB9">
      <w:pPr>
        <w:ind w:firstLine="480" w:firstLineChars="200"/>
        <w:rPr>
          <w:rFonts w:hint="eastAsia" w:ascii="宋体" w:hAnsi="宋体" w:cs="宋体"/>
          <w:color w:val="000000"/>
          <w:sz w:val="24"/>
          <w:highlight w:val="none"/>
        </w:rPr>
      </w:pPr>
    </w:p>
    <w:p w14:paraId="05409707">
      <w:pPr>
        <w:ind w:firstLine="480" w:firstLineChars="200"/>
        <w:rPr>
          <w:rFonts w:hint="eastAsia" w:ascii="宋体" w:hAnsi="宋体" w:cs="宋体"/>
          <w:color w:val="000000"/>
          <w:sz w:val="24"/>
          <w:highlight w:val="none"/>
        </w:rPr>
      </w:pPr>
    </w:p>
    <w:p w14:paraId="0FF428A6">
      <w:pPr>
        <w:ind w:firstLine="480" w:firstLineChars="200"/>
        <w:rPr>
          <w:rFonts w:hint="eastAsia" w:ascii="宋体" w:hAnsi="宋体" w:cs="宋体"/>
          <w:color w:val="000000"/>
          <w:sz w:val="24"/>
          <w:highlight w:val="none"/>
        </w:rPr>
      </w:pPr>
    </w:p>
    <w:p w14:paraId="01CFACB0">
      <w:pPr>
        <w:ind w:firstLine="480" w:firstLineChars="200"/>
        <w:rPr>
          <w:rFonts w:hint="eastAsia" w:ascii="宋体" w:hAnsi="宋体" w:cs="宋体"/>
          <w:color w:val="000000"/>
          <w:sz w:val="24"/>
          <w:highlight w:val="none"/>
        </w:rPr>
      </w:pPr>
    </w:p>
    <w:p w14:paraId="1D757F3B">
      <w:pPr>
        <w:ind w:firstLine="480" w:firstLineChars="200"/>
        <w:rPr>
          <w:rFonts w:hint="eastAsia" w:ascii="宋体" w:hAnsi="宋体" w:cs="宋体"/>
          <w:color w:val="000000"/>
          <w:sz w:val="24"/>
          <w:highlight w:val="none"/>
        </w:rPr>
      </w:pPr>
    </w:p>
    <w:p w14:paraId="06B7CFF5">
      <w:pPr>
        <w:ind w:firstLine="480" w:firstLineChars="200"/>
        <w:rPr>
          <w:rFonts w:hint="eastAsia" w:ascii="宋体" w:hAnsi="宋体" w:cs="宋体"/>
          <w:color w:val="000000"/>
          <w:sz w:val="24"/>
          <w:highlight w:val="none"/>
        </w:rPr>
      </w:pPr>
    </w:p>
    <w:p w14:paraId="4F2A7712">
      <w:pPr>
        <w:ind w:firstLine="480" w:firstLineChars="200"/>
        <w:rPr>
          <w:rFonts w:hint="eastAsia" w:ascii="宋体" w:hAnsi="宋体" w:cs="宋体"/>
          <w:color w:val="000000"/>
          <w:sz w:val="24"/>
          <w:highlight w:val="none"/>
        </w:rPr>
      </w:pPr>
    </w:p>
    <w:p w14:paraId="173620DE">
      <w:pPr>
        <w:ind w:firstLine="480" w:firstLineChars="200"/>
        <w:rPr>
          <w:rFonts w:hint="eastAsia" w:ascii="宋体" w:hAnsi="宋体" w:cs="宋体"/>
          <w:color w:val="000000"/>
          <w:sz w:val="24"/>
          <w:highlight w:val="none"/>
        </w:rPr>
      </w:pPr>
    </w:p>
    <w:p w14:paraId="20E1BFAD">
      <w:pPr>
        <w:ind w:firstLine="480" w:firstLineChars="200"/>
        <w:rPr>
          <w:rFonts w:hint="eastAsia" w:ascii="宋体" w:hAnsi="宋体" w:cs="宋体"/>
          <w:color w:val="000000"/>
          <w:sz w:val="24"/>
          <w:highlight w:val="none"/>
        </w:rPr>
      </w:pPr>
    </w:p>
    <w:p w14:paraId="682F3875">
      <w:pPr>
        <w:ind w:firstLine="480" w:firstLineChars="200"/>
        <w:rPr>
          <w:rFonts w:hint="eastAsia" w:ascii="宋体" w:hAnsi="宋体" w:cs="宋体"/>
          <w:color w:val="000000"/>
          <w:sz w:val="24"/>
          <w:highlight w:val="none"/>
        </w:rPr>
      </w:pPr>
    </w:p>
    <w:p w14:paraId="28AED030">
      <w:pPr>
        <w:ind w:firstLine="480" w:firstLineChars="200"/>
        <w:rPr>
          <w:rFonts w:hint="eastAsia" w:ascii="宋体" w:hAnsi="宋体" w:cs="宋体"/>
          <w:color w:val="000000"/>
          <w:sz w:val="24"/>
          <w:highlight w:val="none"/>
        </w:rPr>
      </w:pPr>
    </w:p>
    <w:p w14:paraId="7780CE75">
      <w:pPr>
        <w:ind w:firstLine="480" w:firstLineChars="200"/>
        <w:rPr>
          <w:rFonts w:hint="eastAsia" w:ascii="宋体" w:hAnsi="宋体" w:cs="宋体"/>
          <w:color w:val="000000"/>
          <w:sz w:val="24"/>
          <w:highlight w:val="none"/>
        </w:rPr>
      </w:pPr>
    </w:p>
    <w:p w14:paraId="2E498620">
      <w:pPr>
        <w:ind w:firstLine="480" w:firstLineChars="200"/>
        <w:rPr>
          <w:rFonts w:hint="eastAsia" w:ascii="宋体" w:hAnsi="宋体" w:cs="宋体"/>
          <w:color w:val="000000"/>
          <w:sz w:val="24"/>
          <w:highlight w:val="none"/>
        </w:rPr>
      </w:pPr>
    </w:p>
    <w:p w14:paraId="5BD9D6DD">
      <w:pPr>
        <w:ind w:firstLine="480" w:firstLineChars="200"/>
        <w:rPr>
          <w:rFonts w:hint="eastAsia" w:ascii="宋体" w:hAnsi="宋体" w:cs="宋体"/>
          <w:color w:val="000000"/>
          <w:sz w:val="24"/>
          <w:highlight w:val="none"/>
        </w:rPr>
      </w:pPr>
    </w:p>
    <w:p w14:paraId="67633FD0">
      <w:pPr>
        <w:ind w:firstLine="480" w:firstLineChars="200"/>
        <w:rPr>
          <w:rFonts w:hint="eastAsia" w:ascii="宋体" w:hAnsi="宋体" w:cs="宋体"/>
          <w:color w:val="000000"/>
          <w:sz w:val="24"/>
          <w:highlight w:val="none"/>
        </w:rPr>
      </w:pPr>
    </w:p>
    <w:p w14:paraId="1A2A3827">
      <w:pPr>
        <w:ind w:firstLine="480" w:firstLineChars="200"/>
        <w:rPr>
          <w:rFonts w:hint="eastAsia" w:ascii="宋体" w:hAnsi="宋体" w:cs="宋体"/>
          <w:color w:val="000000"/>
          <w:sz w:val="24"/>
          <w:highlight w:val="none"/>
        </w:rPr>
      </w:pPr>
    </w:p>
    <w:p w14:paraId="1C95F745">
      <w:pPr>
        <w:ind w:firstLine="480" w:firstLineChars="200"/>
        <w:rPr>
          <w:rFonts w:hint="eastAsia" w:ascii="宋体" w:hAnsi="宋体" w:cs="宋体"/>
          <w:color w:val="000000"/>
          <w:sz w:val="24"/>
          <w:highlight w:val="none"/>
        </w:rPr>
      </w:pPr>
    </w:p>
    <w:p w14:paraId="3273081E">
      <w:pPr>
        <w:ind w:firstLine="480" w:firstLineChars="200"/>
        <w:rPr>
          <w:rFonts w:hint="eastAsia" w:ascii="宋体" w:hAnsi="宋体" w:cs="宋体"/>
          <w:color w:val="000000"/>
          <w:sz w:val="24"/>
          <w:highlight w:val="none"/>
        </w:rPr>
      </w:pPr>
    </w:p>
    <w:p w14:paraId="7A0AE71A">
      <w:pPr>
        <w:ind w:firstLine="480" w:firstLineChars="200"/>
        <w:rPr>
          <w:rFonts w:hint="eastAsia" w:ascii="宋体" w:hAnsi="宋体" w:cs="宋体"/>
          <w:color w:val="000000"/>
          <w:sz w:val="24"/>
          <w:highlight w:val="none"/>
        </w:rPr>
      </w:pPr>
    </w:p>
    <w:p w14:paraId="3F03FD01">
      <w:pPr>
        <w:ind w:firstLine="480" w:firstLineChars="200"/>
        <w:rPr>
          <w:rFonts w:hint="eastAsia" w:ascii="宋体" w:hAnsi="宋体" w:cs="宋体"/>
          <w:color w:val="000000"/>
          <w:sz w:val="24"/>
          <w:highlight w:val="none"/>
        </w:rPr>
      </w:pPr>
    </w:p>
    <w:p w14:paraId="7BE2E9FD">
      <w:pPr>
        <w:ind w:firstLine="480" w:firstLineChars="200"/>
        <w:rPr>
          <w:rFonts w:hint="eastAsia" w:ascii="宋体" w:hAnsi="宋体" w:cs="宋体"/>
          <w:color w:val="000000"/>
          <w:sz w:val="24"/>
          <w:highlight w:val="none"/>
        </w:rPr>
      </w:pPr>
    </w:p>
    <w:p w14:paraId="0DE6E7DF">
      <w:pPr>
        <w:ind w:firstLine="480" w:firstLineChars="200"/>
        <w:rPr>
          <w:rFonts w:hint="eastAsia" w:ascii="宋体" w:hAnsi="宋体" w:cs="宋体"/>
          <w:color w:val="000000"/>
          <w:sz w:val="24"/>
          <w:highlight w:val="none"/>
        </w:rPr>
      </w:pPr>
    </w:p>
    <w:p w14:paraId="34DCE905">
      <w:pPr>
        <w:ind w:firstLine="480" w:firstLineChars="200"/>
        <w:rPr>
          <w:rFonts w:hint="eastAsia" w:ascii="宋体" w:hAnsi="宋体" w:cs="宋体"/>
          <w:color w:val="000000"/>
          <w:sz w:val="24"/>
          <w:highlight w:val="none"/>
        </w:rPr>
      </w:pPr>
    </w:p>
    <w:p w14:paraId="7562050E">
      <w:pPr>
        <w:ind w:firstLine="480" w:firstLineChars="200"/>
        <w:rPr>
          <w:rFonts w:hint="eastAsia" w:ascii="宋体" w:hAnsi="宋体" w:cs="宋体"/>
          <w:color w:val="000000"/>
          <w:sz w:val="24"/>
          <w:highlight w:val="none"/>
        </w:rPr>
      </w:pPr>
    </w:p>
    <w:p w14:paraId="073E12A2">
      <w:pPr>
        <w:ind w:firstLine="480" w:firstLineChars="200"/>
        <w:rPr>
          <w:rFonts w:hint="eastAsia" w:ascii="宋体" w:hAnsi="宋体" w:cs="宋体"/>
          <w:color w:val="000000"/>
          <w:sz w:val="24"/>
          <w:highlight w:val="none"/>
        </w:rPr>
      </w:pPr>
    </w:p>
    <w:p w14:paraId="25D66101">
      <w:pPr>
        <w:ind w:firstLine="480" w:firstLineChars="200"/>
        <w:rPr>
          <w:rFonts w:hint="eastAsia" w:ascii="宋体" w:hAnsi="宋体" w:cs="宋体"/>
          <w:color w:val="000000"/>
          <w:sz w:val="24"/>
          <w:highlight w:val="none"/>
        </w:rPr>
      </w:pPr>
    </w:p>
    <w:p w14:paraId="36694D57">
      <w:pPr>
        <w:ind w:firstLine="480" w:firstLineChars="200"/>
        <w:rPr>
          <w:rFonts w:hint="eastAsia" w:ascii="宋体" w:hAnsi="宋体" w:cs="宋体"/>
          <w:color w:val="000000"/>
          <w:sz w:val="24"/>
          <w:highlight w:val="none"/>
        </w:rPr>
      </w:pPr>
    </w:p>
    <w:p w14:paraId="6A5DF1F4">
      <w:pPr>
        <w:ind w:firstLine="480" w:firstLineChars="200"/>
        <w:rPr>
          <w:rFonts w:hint="eastAsia" w:ascii="宋体" w:hAnsi="宋体" w:cs="宋体"/>
          <w:color w:val="000000"/>
          <w:sz w:val="24"/>
          <w:highlight w:val="none"/>
        </w:rPr>
      </w:pPr>
    </w:p>
    <w:p w14:paraId="3A46286F">
      <w:pPr>
        <w:ind w:firstLine="480" w:firstLineChars="200"/>
        <w:rPr>
          <w:rFonts w:hint="eastAsia" w:ascii="宋体" w:hAnsi="宋体" w:cs="宋体"/>
          <w:color w:val="000000"/>
          <w:sz w:val="24"/>
          <w:highlight w:val="none"/>
        </w:rPr>
      </w:pPr>
    </w:p>
    <w:p w14:paraId="6B0ABB8D">
      <w:pPr>
        <w:ind w:firstLine="480" w:firstLineChars="200"/>
        <w:rPr>
          <w:rFonts w:hint="eastAsia" w:ascii="宋体" w:hAnsi="宋体" w:cs="宋体"/>
          <w:color w:val="000000"/>
          <w:sz w:val="24"/>
          <w:highlight w:val="none"/>
        </w:rPr>
      </w:pPr>
    </w:p>
    <w:p w14:paraId="3CB62B21">
      <w:pPr>
        <w:ind w:firstLine="480" w:firstLineChars="200"/>
        <w:rPr>
          <w:rFonts w:hint="eastAsia" w:ascii="宋体" w:hAnsi="宋体" w:cs="宋体"/>
          <w:color w:val="000000"/>
          <w:sz w:val="24"/>
          <w:highlight w:val="none"/>
        </w:rPr>
      </w:pPr>
    </w:p>
    <w:p w14:paraId="64CF361D">
      <w:pPr>
        <w:ind w:firstLine="480" w:firstLineChars="200"/>
        <w:rPr>
          <w:rFonts w:hint="eastAsia" w:ascii="宋体" w:hAnsi="宋体" w:cs="宋体"/>
          <w:color w:val="000000"/>
          <w:sz w:val="24"/>
          <w:highlight w:val="none"/>
        </w:rPr>
      </w:pPr>
    </w:p>
    <w:p w14:paraId="38B8847B">
      <w:pPr>
        <w:ind w:firstLine="480" w:firstLineChars="200"/>
        <w:rPr>
          <w:rFonts w:hint="eastAsia" w:ascii="宋体" w:hAnsi="宋体" w:cs="宋体"/>
          <w:color w:val="000000"/>
          <w:sz w:val="24"/>
          <w:highlight w:val="none"/>
        </w:rPr>
      </w:pPr>
    </w:p>
    <w:p w14:paraId="69D5F1CC">
      <w:pPr>
        <w:ind w:firstLine="480" w:firstLineChars="200"/>
        <w:rPr>
          <w:rFonts w:hint="eastAsia" w:ascii="宋体" w:hAnsi="宋体" w:cs="宋体"/>
          <w:color w:val="000000"/>
          <w:sz w:val="24"/>
          <w:highlight w:val="none"/>
        </w:rPr>
      </w:pPr>
    </w:p>
    <w:p w14:paraId="7B0E6C06">
      <w:pPr>
        <w:ind w:firstLine="480" w:firstLineChars="200"/>
        <w:rPr>
          <w:rFonts w:hint="eastAsia" w:ascii="宋体" w:hAnsi="宋体" w:cs="宋体"/>
          <w:color w:val="000000"/>
          <w:sz w:val="24"/>
          <w:highlight w:val="none"/>
        </w:rPr>
      </w:pPr>
    </w:p>
    <w:p w14:paraId="0BF22916">
      <w:pPr>
        <w:pStyle w:val="28"/>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附：</w:t>
      </w:r>
    </w:p>
    <w:p w14:paraId="61D12299">
      <w:pPr>
        <w:pStyle w:val="28"/>
        <w:spacing w:line="360" w:lineRule="auto"/>
        <w:rPr>
          <w:rFonts w:hint="eastAsia" w:ascii="宋体" w:hAnsi="宋体" w:cs="宋体"/>
          <w:color w:val="000000"/>
          <w:sz w:val="21"/>
          <w:szCs w:val="21"/>
          <w:highlight w:val="none"/>
        </w:rPr>
      </w:pPr>
    </w:p>
    <w:p w14:paraId="6FBFC979">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关于印发《政府采购促进中小企业发展管理办法》的通知</w:t>
      </w:r>
    </w:p>
    <w:p w14:paraId="139EA29B">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财库〔2020〕46号</w:t>
      </w:r>
    </w:p>
    <w:p w14:paraId="795FF494">
      <w:pPr>
        <w:widowControl/>
        <w:shd w:val="clear" w:color="auto" w:fill="FFFFFF"/>
        <w:spacing w:after="150" w:line="360" w:lineRule="auto"/>
        <w:jc w:val="left"/>
        <w:rPr>
          <w:rFonts w:hint="eastAsia" w:ascii="宋体" w:hAnsi="宋体" w:cs="宋体"/>
          <w:szCs w:val="21"/>
          <w:highlight w:val="none"/>
        </w:rPr>
      </w:pPr>
      <w:r>
        <w:rPr>
          <w:rFonts w:hint="eastAsia" w:ascii="宋体" w:hAnsi="宋体" w:cs="宋体"/>
          <w:szCs w:val="21"/>
          <w:highlight w:val="none"/>
        </w:rPr>
        <w:t>各中央预算单位办公厅（室），各省、自治区、直辖市、计划单列市财政厅（局）、工业和信息化主管部门，新疆生产建设兵团财政局、工业和信息化主管部门：</w:t>
      </w:r>
    </w:p>
    <w:p w14:paraId="4EC9C8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0CA3F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附件：政府采购促进中小企业发展管理办法</w:t>
      </w:r>
    </w:p>
    <w:p w14:paraId="64ADA52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财 政  部</w:t>
      </w:r>
    </w:p>
    <w:p w14:paraId="0E805148">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工业和信息化部</w:t>
      </w:r>
    </w:p>
    <w:p w14:paraId="3E6B5A4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2020年12月18日</w:t>
      </w:r>
    </w:p>
    <w:p w14:paraId="22047DD4">
      <w:pPr>
        <w:widowControl/>
        <w:shd w:val="clear" w:color="auto" w:fill="FFFFFF"/>
        <w:spacing w:after="150" w:line="360" w:lineRule="auto"/>
        <w:ind w:firstLine="560"/>
        <w:jc w:val="center"/>
        <w:rPr>
          <w:rFonts w:hint="eastAsia" w:ascii="宋体" w:hAnsi="宋体" w:cs="宋体"/>
          <w:szCs w:val="21"/>
          <w:highlight w:val="none"/>
        </w:rPr>
      </w:pPr>
      <w:r>
        <w:rPr>
          <w:rFonts w:hint="eastAsia" w:ascii="宋体" w:hAnsi="宋体" w:cs="宋体"/>
          <w:szCs w:val="21"/>
          <w:highlight w:val="none"/>
        </w:rPr>
        <w:t>政府采购促进中小企业发展管理办法</w:t>
      </w:r>
    </w:p>
    <w:p w14:paraId="7C27477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第一条 为了发挥政府采购的政策功能，促进中小企业健康发展，根据《中华人民共和国政府采购法》、《中华人民共和国中小企业促进法》等有关法律法规，制定本办法。</w:t>
      </w:r>
    </w:p>
    <w:p w14:paraId="70211D5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BF808B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符合中小企业划分标准的个体工商户，在政府采购活动中视同中小企业。</w:t>
      </w:r>
    </w:p>
    <w:p w14:paraId="1332CD1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第三条 采购人在政府采购活动中应当通过加强采购需求管理，落实预留采购份额、价格评审优惠、优先采购等措施，提高中小企业在政府采购中的份额，支持中小企业发展。</w:t>
      </w:r>
    </w:p>
    <w:p w14:paraId="19BECA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第四条 在政府采购活动中，供应商提供的货物、工程或者服务符合下列情形的，享受本办法规定的中小企业扶持政策：</w:t>
      </w:r>
    </w:p>
    <w:p w14:paraId="0E2260C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（一）在货物采购项目中，货物由中小企业制造，即货物由中小企业生产且使用该中小企业商号或者注册商标；</w:t>
      </w:r>
    </w:p>
    <w:p w14:paraId="75FE720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（二）在工程采购项目中，工程由中小企业承建，即工程施工单位为中小企业；</w:t>
      </w:r>
    </w:p>
    <w:p w14:paraId="410E39E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（三）在服务采购项目中，服务由中小企业承接，即提供服务的人员为中小企业依照《中华人民共和国劳动合同法》订立劳动合同的从业人员。</w:t>
      </w:r>
    </w:p>
    <w:p w14:paraId="68C105F0">
      <w:pPr>
        <w:widowControl/>
        <w:shd w:val="clear" w:color="auto" w:fill="FFFFFF"/>
        <w:spacing w:after="150" w:line="360" w:lineRule="auto"/>
        <w:ind w:firstLine="560"/>
        <w:jc w:val="left"/>
        <w:rPr>
          <w:rFonts w:hint="eastAsia"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在货物采购项目中，供应商提供的货物既有中小企业制造货物，也有大型企业制造货物的，不享受本办法规定的中小企业扶持政策。</w:t>
      </w:r>
    </w:p>
    <w:p w14:paraId="3B7709A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以联合体形式参加政府采购活动，联合体各方均为中小企业的，联合体视同中小企业。其中，联合体各方均为小微企业的，联合体视同小微企业。</w:t>
      </w:r>
    </w:p>
    <w:p w14:paraId="317340D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1FAAF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225C39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符合下列情形之一的，可不专门面向中小企业预留采购份额：</w:t>
      </w:r>
    </w:p>
    <w:p w14:paraId="563D8EA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（一）法律法规和国家有关政策明确规定优先或者应当面向事业单位、社会组织等非企业主体采购的；</w:t>
      </w:r>
    </w:p>
    <w:p w14:paraId="32DE3D9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（二）因确需使用不可替代的专利、专有技术，基础设施限制，或者提供特定公共服务等原因，只能从中小企业之外的供应商处采购的；</w:t>
      </w:r>
    </w:p>
    <w:p w14:paraId="6EF3949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（三）按照本办法规定预留采购份额无法确保充分供应、充分竞争，或者存在可能影响政府采购目标实现的情形；</w:t>
      </w:r>
    </w:p>
    <w:p w14:paraId="39A8EE5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（四）框架协议采购项目；</w:t>
      </w:r>
    </w:p>
    <w:p w14:paraId="1756833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（五）省级以上人民政府财政部门规定的其他情形。</w:t>
      </w:r>
    </w:p>
    <w:p w14:paraId="5F0AC9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除上述情形外，其他均为适宜由中小企业提供的情形。</w:t>
      </w:r>
    </w:p>
    <w:p w14:paraId="5BFD92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第七条 采购限额标准以上，200万元以下的货物和服务采购项目、400万元以下的工程采购项目，适宜由中小企业提供的，采购人应当专门面向中小企业采购。</w:t>
      </w:r>
    </w:p>
    <w:p w14:paraId="5DAE4A4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A77794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（一）将采购项目整体或者设置采购包专门面向中小企业采购；</w:t>
      </w:r>
    </w:p>
    <w:p w14:paraId="42F3CE8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（二）要求供应商以联合体形式参加采购活动，且联合体中中小企业承担的部分达到一定比例；</w:t>
      </w:r>
    </w:p>
    <w:p w14:paraId="5E6AD99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（三）要求获得采购合同的供应商将采购项目中的一定比例分包给一家或者多家中小企业。</w:t>
      </w:r>
    </w:p>
    <w:p w14:paraId="0BEB290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组成联合体或者接受分包合同的中小企业与联合体内其他企业、分包企业之间不得存在直接控股、管理关系。</w:t>
      </w:r>
    </w:p>
    <w:p w14:paraId="3F1FEC7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62BD7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BA3D1D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C3EEF0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577CA3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51EEE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第十二条 采购项目涉及中小企业采购的，招标文件应当明确以下内容：</w:t>
      </w:r>
    </w:p>
    <w:p w14:paraId="12F843F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（一）预留份额的采购项目或者采购包，明确该项目或相关采购包专门面向中小企业采购，以及相关标的及预算金额；</w:t>
      </w:r>
    </w:p>
    <w:p w14:paraId="190F6A7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（二）要求以联合体形式参加或者合同分包的，明确联合协议或者分包意向协议中中小企业合同金额应当达到的比例，并作为供应商资格条件；</w:t>
      </w:r>
    </w:p>
    <w:p w14:paraId="4BDC479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（三）非预留份额的采购项目或者采购包，明确有关价格扣除比例或者价格分加分比例；</w:t>
      </w:r>
    </w:p>
    <w:p w14:paraId="52984D6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（四）规定依据本办法规定享受扶持政策获得政府采购合同的，小微企业不得将合同分包给大中型企业，中型企业不得将合同分包给大型企业；</w:t>
      </w:r>
    </w:p>
    <w:p w14:paraId="51CA8B0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（五）采购人认为具备相关条件的，明确对中小企业在资金支付期限、预付款比例等方面的优惠措施；</w:t>
      </w:r>
    </w:p>
    <w:p w14:paraId="7DBD3B1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（六）明确采购标的对应的中小企业划分标准所属行业；</w:t>
      </w:r>
    </w:p>
    <w:p w14:paraId="32613C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（七）法律法规和省级以上人民政府财政部门规定的其他事项。</w:t>
      </w:r>
    </w:p>
    <w:p w14:paraId="09D4F0D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第十三条 中标、成交供应商享受本办法规定的中小企业扶持政策的，采购人、采购代理机构应当随中标、成交结果公开中标、成交供应商的《中小企业声明函》。</w:t>
      </w:r>
    </w:p>
    <w:p w14:paraId="1928325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适用招标投标法的政府采购工程建设项目，应当在公示中标候选人时公开中标候选人的《中小企业声明函》。</w:t>
      </w:r>
    </w:p>
    <w:p w14:paraId="70DECE5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198B2D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225D37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173803F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中小企业主管部门应当在收到财政部门或者有关招标投标行政监督部门关于协助开展中小企业认定函后10个工作日内做出书面答复。</w:t>
      </w:r>
    </w:p>
    <w:p w14:paraId="4397FE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288BFFC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E8CD88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F1ACA1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第二十条 供应商按照本办法规定提供声明函内容不实的，属于提供虚假材料谋取中标、成交，依照《中华人民共和国政府采购法》等国家有关规定追究相应责任。</w:t>
      </w:r>
    </w:p>
    <w:p w14:paraId="0E4135E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适用招标投标法的政府采购工程建设项目，供应商按照本办法规定提供声明函内容不实的，属于弄虚作假骗取中标，依照《中华人民共和国招标投标法》等国家有关规定追究相应责任。</w:t>
      </w:r>
    </w:p>
    <w:p w14:paraId="1E9F2AB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DD6345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第二十二条 对外援助项目、国家相关资格或者资质管理制度另有规定的项目，不适用本办法。</w:t>
      </w:r>
    </w:p>
    <w:p w14:paraId="107FAA6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第二十三条 关于视同中小企业的其他主体的政府采购扶持政策，由财政部会同有关部门另行规定。</w:t>
      </w:r>
    </w:p>
    <w:p w14:paraId="21A97F5C">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第二十四条 省级财政部门可以会同中小企业主管部门根据本办法的规定制定具体实施办法。</w:t>
      </w:r>
    </w:p>
    <w:p w14:paraId="06555D1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第二十五条 本办法自2021年1月1日起施行。《财政部 工业和信息化部关于印发〈政府采购促进中小企业发展暂行办法〉的通知》（财库﹝2011﹞181号）同时废止。</w:t>
      </w:r>
    </w:p>
    <w:p w14:paraId="11A76F5E">
      <w:pPr>
        <w:widowControl/>
        <w:spacing w:line="360" w:lineRule="auto"/>
        <w:ind w:firstLine="420" w:firstLineChars="200"/>
        <w:jc w:val="left"/>
        <w:rPr>
          <w:rFonts w:hint="eastAsia" w:ascii="宋体" w:hAnsi="宋体" w:cs="宋体"/>
          <w:bCs/>
          <w:szCs w:val="21"/>
          <w:highlight w:val="none"/>
          <w:lang w:val="zh-CN"/>
        </w:rPr>
      </w:pPr>
    </w:p>
    <w:p w14:paraId="6330AD3C">
      <w:pPr>
        <w:widowControl/>
        <w:spacing w:line="360" w:lineRule="auto"/>
        <w:ind w:firstLine="420" w:firstLineChars="200"/>
        <w:jc w:val="left"/>
        <w:rPr>
          <w:rFonts w:hint="eastAsia" w:ascii="宋体" w:hAnsi="宋体" w:cs="宋体"/>
          <w:bCs/>
          <w:szCs w:val="21"/>
          <w:highlight w:val="none"/>
          <w:lang w:val="zh-CN"/>
        </w:rPr>
      </w:pPr>
    </w:p>
    <w:p w14:paraId="5C4B04A6">
      <w:pPr>
        <w:pStyle w:val="6"/>
        <w:spacing w:line="360" w:lineRule="auto"/>
        <w:jc w:val="center"/>
        <w:rPr>
          <w:rFonts w:hint="eastAsia" w:ascii="宋体" w:hAnsi="宋体" w:cs="宋体"/>
          <w:bCs/>
          <w:szCs w:val="21"/>
          <w:highlight w:val="none"/>
        </w:rPr>
      </w:pPr>
      <w:r>
        <w:rPr>
          <w:rFonts w:hint="eastAsia" w:ascii="宋体" w:hAnsi="宋体" w:cs="宋体"/>
          <w:bCs/>
          <w:szCs w:val="21"/>
          <w:highlight w:val="none"/>
        </w:rPr>
        <w:br w:type="page"/>
      </w:r>
      <w:r>
        <w:rPr>
          <w:rFonts w:hint="eastAsia" w:ascii="宋体" w:hAnsi="宋体" w:cs="宋体"/>
          <w:bCs/>
          <w:szCs w:val="21"/>
          <w:highlight w:val="none"/>
        </w:rPr>
        <w:t>中小企业划型标准规定</w:t>
      </w:r>
    </w:p>
    <w:p w14:paraId="278054E5">
      <w:pPr>
        <w:pStyle w:val="6"/>
        <w:spacing w:line="360" w:lineRule="auto"/>
        <w:rPr>
          <w:rFonts w:hint="eastAsia" w:ascii="宋体" w:hAnsi="宋体" w:cs="宋体"/>
          <w:bCs/>
          <w:szCs w:val="21"/>
          <w:highlight w:val="none"/>
        </w:rPr>
      </w:pPr>
      <w:r>
        <w:rPr>
          <w:rFonts w:hint="eastAsia" w:ascii="宋体" w:hAnsi="宋体" w:cs="宋体"/>
          <w:bCs/>
          <w:szCs w:val="21"/>
          <w:highlight w:val="none"/>
        </w:rPr>
        <w:t>　　</w:t>
      </w:r>
    </w:p>
    <w:p w14:paraId="5945B3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0A1188BD">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7ED01D6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8DF8DC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54AABCE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498C1DB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C1CB4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7CE6C6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ED2EE4B">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3F90E3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1DE471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3F0298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6304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9D202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29488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CE48F1">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F3881D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BE9B8F7">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27A4E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CC56D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61333ED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70825D12">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8752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47746E5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39E69DD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56CE0506">
      <w:pPr>
        <w:spacing w:line="360" w:lineRule="auto"/>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10106346">
      <w:pPr>
        <w:pStyle w:val="28"/>
        <w:spacing w:line="320" w:lineRule="exact"/>
        <w:rPr>
          <w:rFonts w:hint="eastAsia" w:ascii="宋体" w:hAnsi="宋体" w:cs="宋体"/>
          <w:color w:val="000000"/>
          <w:sz w:val="32"/>
          <w:szCs w:val="32"/>
          <w:highlight w:val="none"/>
        </w:rPr>
      </w:pPr>
    </w:p>
    <w:p w14:paraId="288B6C84">
      <w:pPr>
        <w:pStyle w:val="28"/>
        <w:spacing w:line="320" w:lineRule="exact"/>
        <w:rPr>
          <w:rFonts w:hint="eastAsia" w:ascii="宋体" w:hAnsi="宋体" w:cs="宋体"/>
          <w:color w:val="000000"/>
          <w:sz w:val="32"/>
          <w:szCs w:val="32"/>
          <w:highlight w:val="none"/>
        </w:rPr>
      </w:pPr>
    </w:p>
    <w:p w14:paraId="0FE477C5">
      <w:pPr>
        <w:pStyle w:val="28"/>
        <w:spacing w:line="320" w:lineRule="exact"/>
        <w:rPr>
          <w:rFonts w:hint="eastAsia" w:ascii="宋体" w:hAnsi="宋体" w:cs="宋体"/>
          <w:color w:val="000000"/>
          <w:sz w:val="32"/>
          <w:szCs w:val="32"/>
          <w:highlight w:val="none"/>
        </w:rPr>
      </w:pPr>
    </w:p>
    <w:p w14:paraId="63B6B133">
      <w:pPr>
        <w:pStyle w:val="28"/>
        <w:spacing w:line="320" w:lineRule="exact"/>
        <w:rPr>
          <w:rFonts w:hint="eastAsia" w:ascii="宋体" w:hAnsi="宋体" w:cs="宋体"/>
          <w:color w:val="000000"/>
          <w:sz w:val="32"/>
          <w:szCs w:val="32"/>
          <w:highlight w:val="none"/>
        </w:rPr>
      </w:pPr>
    </w:p>
    <w:p w14:paraId="117CF36C">
      <w:pPr>
        <w:pStyle w:val="28"/>
        <w:spacing w:line="320" w:lineRule="exact"/>
        <w:rPr>
          <w:rFonts w:hint="eastAsia" w:ascii="宋体" w:hAnsi="宋体" w:cs="宋体"/>
          <w:color w:val="000000"/>
          <w:sz w:val="32"/>
          <w:szCs w:val="32"/>
          <w:highlight w:val="none"/>
        </w:rPr>
      </w:pPr>
    </w:p>
    <w:p w14:paraId="36FB4625">
      <w:pPr>
        <w:pStyle w:val="28"/>
        <w:spacing w:line="320" w:lineRule="exact"/>
        <w:rPr>
          <w:rFonts w:hint="eastAsia" w:ascii="宋体" w:hAnsi="宋体" w:cs="宋体"/>
          <w:color w:val="000000"/>
          <w:sz w:val="32"/>
          <w:szCs w:val="32"/>
          <w:highlight w:val="none"/>
        </w:rPr>
      </w:pPr>
    </w:p>
    <w:p w14:paraId="1BC4E4EC">
      <w:pPr>
        <w:pStyle w:val="28"/>
        <w:spacing w:line="320" w:lineRule="exact"/>
        <w:rPr>
          <w:rFonts w:hint="eastAsia" w:ascii="宋体" w:hAnsi="宋体" w:cs="宋体"/>
          <w:color w:val="000000"/>
          <w:sz w:val="32"/>
          <w:szCs w:val="32"/>
          <w:highlight w:val="none"/>
        </w:rPr>
      </w:pPr>
    </w:p>
    <w:p w14:paraId="2C374179">
      <w:pPr>
        <w:pStyle w:val="28"/>
        <w:spacing w:line="320" w:lineRule="exact"/>
        <w:rPr>
          <w:rFonts w:hint="eastAsia" w:ascii="宋体" w:hAnsi="宋体" w:cs="宋体"/>
          <w:color w:val="000000"/>
          <w:sz w:val="32"/>
          <w:szCs w:val="32"/>
          <w:highlight w:val="none"/>
        </w:rPr>
      </w:pPr>
    </w:p>
    <w:p w14:paraId="49820B98">
      <w:pPr>
        <w:pStyle w:val="28"/>
        <w:spacing w:line="320" w:lineRule="exact"/>
        <w:rPr>
          <w:rFonts w:hint="eastAsia" w:ascii="宋体" w:hAnsi="宋体" w:cs="宋体"/>
          <w:color w:val="000000"/>
          <w:sz w:val="32"/>
          <w:szCs w:val="32"/>
          <w:highlight w:val="none"/>
        </w:rPr>
      </w:pPr>
    </w:p>
    <w:p w14:paraId="64035CBB">
      <w:pPr>
        <w:pStyle w:val="28"/>
        <w:spacing w:line="320" w:lineRule="exact"/>
        <w:rPr>
          <w:rFonts w:hint="eastAsia" w:ascii="宋体" w:hAnsi="宋体" w:cs="宋体"/>
          <w:color w:val="000000"/>
          <w:sz w:val="32"/>
          <w:szCs w:val="32"/>
          <w:highlight w:val="none"/>
        </w:rPr>
      </w:pPr>
    </w:p>
    <w:p w14:paraId="3157372C">
      <w:pPr>
        <w:pStyle w:val="6"/>
        <w:ind w:firstLine="0" w:firstLineChars="0"/>
        <w:jc w:val="center"/>
        <w:rPr>
          <w:rFonts w:hint="eastAsia" w:ascii="宋体" w:hAnsi="宋体" w:cs="宋体"/>
          <w:bCs/>
          <w:sz w:val="28"/>
          <w:szCs w:val="28"/>
          <w:highlight w:val="none"/>
        </w:rPr>
      </w:pPr>
    </w:p>
    <w:p w14:paraId="2E4F3234">
      <w:pPr>
        <w:pStyle w:val="6"/>
        <w:ind w:firstLine="0" w:firstLineChars="0"/>
        <w:jc w:val="center"/>
        <w:rPr>
          <w:rFonts w:hint="eastAsia" w:ascii="宋体" w:hAnsi="宋体" w:cs="宋体"/>
          <w:bCs/>
          <w:sz w:val="28"/>
          <w:szCs w:val="28"/>
          <w:highlight w:val="none"/>
        </w:rPr>
      </w:pPr>
    </w:p>
    <w:p w14:paraId="2309BB68">
      <w:pPr>
        <w:pStyle w:val="6"/>
        <w:ind w:firstLine="0" w:firstLineChars="0"/>
        <w:jc w:val="center"/>
        <w:rPr>
          <w:rFonts w:hint="eastAsia" w:ascii="宋体" w:hAnsi="宋体" w:cs="宋体"/>
          <w:bCs/>
          <w:sz w:val="28"/>
          <w:szCs w:val="28"/>
          <w:highlight w:val="none"/>
        </w:rPr>
      </w:pPr>
    </w:p>
    <w:p w14:paraId="58EDAE7B">
      <w:pPr>
        <w:pStyle w:val="6"/>
        <w:ind w:firstLine="0" w:firstLineChars="0"/>
        <w:jc w:val="center"/>
        <w:rPr>
          <w:rFonts w:hint="eastAsia" w:ascii="宋体" w:hAnsi="宋体" w:cs="宋体"/>
          <w:bCs/>
          <w:sz w:val="28"/>
          <w:szCs w:val="28"/>
          <w:highlight w:val="none"/>
        </w:rPr>
      </w:pPr>
    </w:p>
    <w:p w14:paraId="020AA039">
      <w:pPr>
        <w:pStyle w:val="6"/>
        <w:ind w:firstLine="0" w:firstLineChars="0"/>
        <w:jc w:val="center"/>
        <w:rPr>
          <w:rFonts w:hint="eastAsia" w:ascii="宋体" w:hAnsi="宋体" w:cs="宋体"/>
          <w:bCs/>
          <w:sz w:val="28"/>
          <w:szCs w:val="28"/>
          <w:highlight w:val="none"/>
        </w:rPr>
      </w:pPr>
    </w:p>
    <w:p w14:paraId="2460263F">
      <w:pPr>
        <w:pStyle w:val="6"/>
        <w:ind w:firstLine="0" w:firstLineChars="0"/>
        <w:jc w:val="center"/>
        <w:rPr>
          <w:rFonts w:hint="eastAsia" w:ascii="宋体" w:hAnsi="宋体" w:cs="宋体"/>
          <w:bCs/>
          <w:sz w:val="28"/>
          <w:szCs w:val="28"/>
          <w:highlight w:val="none"/>
        </w:rPr>
      </w:pPr>
    </w:p>
    <w:p w14:paraId="6BA989ED">
      <w:pPr>
        <w:pStyle w:val="6"/>
        <w:ind w:firstLine="0" w:firstLineChars="0"/>
        <w:jc w:val="center"/>
        <w:rPr>
          <w:rFonts w:hint="eastAsia" w:ascii="宋体" w:hAnsi="宋体" w:cs="宋体"/>
          <w:bCs/>
          <w:sz w:val="28"/>
          <w:szCs w:val="28"/>
          <w:highlight w:val="none"/>
        </w:rPr>
      </w:pPr>
    </w:p>
    <w:p w14:paraId="3CD110DC">
      <w:pPr>
        <w:pStyle w:val="6"/>
        <w:ind w:firstLine="0" w:firstLineChars="0"/>
        <w:jc w:val="center"/>
        <w:rPr>
          <w:rFonts w:hint="eastAsia" w:ascii="宋体" w:hAnsi="宋体" w:cs="宋体"/>
          <w:bCs/>
          <w:sz w:val="28"/>
          <w:szCs w:val="28"/>
          <w:highlight w:val="none"/>
        </w:rPr>
      </w:pPr>
    </w:p>
    <w:p w14:paraId="48CFDEE6">
      <w:pPr>
        <w:pStyle w:val="6"/>
        <w:ind w:firstLine="0" w:firstLineChars="0"/>
        <w:jc w:val="center"/>
        <w:rPr>
          <w:rFonts w:hint="eastAsia" w:ascii="宋体" w:hAnsi="宋体" w:cs="宋体"/>
          <w:bCs/>
          <w:sz w:val="28"/>
          <w:szCs w:val="28"/>
          <w:highlight w:val="none"/>
        </w:rPr>
      </w:pPr>
    </w:p>
    <w:p w14:paraId="36A508B3">
      <w:pPr>
        <w:pStyle w:val="6"/>
        <w:ind w:firstLine="0" w:firstLineChars="0"/>
        <w:jc w:val="center"/>
        <w:rPr>
          <w:rFonts w:hint="eastAsia" w:ascii="宋体" w:hAnsi="宋体" w:cs="宋体"/>
          <w:bCs/>
          <w:sz w:val="28"/>
          <w:szCs w:val="28"/>
          <w:highlight w:val="none"/>
        </w:rPr>
      </w:pPr>
      <w:r>
        <w:rPr>
          <w:rFonts w:hint="eastAsia" w:ascii="宋体" w:hAnsi="宋体" w:cs="宋体"/>
          <w:bCs/>
          <w:sz w:val="28"/>
          <w:szCs w:val="28"/>
          <w:highlight w:val="none"/>
        </w:rPr>
        <w:t>中小企业划型标准规定</w:t>
      </w:r>
    </w:p>
    <w:p w14:paraId="2021B719">
      <w:pPr>
        <w:pStyle w:val="6"/>
        <w:ind w:firstLine="560"/>
        <w:rPr>
          <w:rFonts w:hint="eastAsia" w:ascii="宋体" w:hAnsi="宋体" w:cs="宋体"/>
          <w:bCs/>
          <w:sz w:val="28"/>
          <w:szCs w:val="28"/>
          <w:highlight w:val="none"/>
        </w:rPr>
      </w:pPr>
      <w:r>
        <w:rPr>
          <w:rFonts w:hint="eastAsia" w:ascii="宋体" w:hAnsi="宋体" w:cs="宋体"/>
          <w:bCs/>
          <w:sz w:val="28"/>
          <w:szCs w:val="28"/>
          <w:highlight w:val="none"/>
        </w:rPr>
        <w:t>　　</w:t>
      </w:r>
    </w:p>
    <w:p w14:paraId="06A11B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47427C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6639445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F9B2BB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4DA17A1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6CAB0AB5">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EBAB6A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7D3F86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62215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382C9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5421A30">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CF5AE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A593D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6DB1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40245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2F1F7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EC4C9D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D3A88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80F85B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18C93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38B49F3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58C720CE">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673CD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5959662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66DF27F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077DFD00">
      <w:pPr>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6E8AC4B5">
      <w:pPr>
        <w:spacing w:line="360" w:lineRule="auto"/>
        <w:jc w:val="center"/>
        <w:rPr>
          <w:rFonts w:hint="eastAsia" w:ascii="宋体" w:hAnsi="宋体" w:cs="宋体"/>
          <w:sz w:val="28"/>
          <w:szCs w:val="28"/>
          <w:highlight w:val="none"/>
        </w:rPr>
      </w:pPr>
    </w:p>
    <w:p w14:paraId="02EB6C6C">
      <w:pPr>
        <w:pStyle w:val="73"/>
        <w:rPr>
          <w:rFonts w:hint="eastAsia" w:eastAsia="宋体"/>
          <w:bCs/>
          <w:sz w:val="30"/>
          <w:szCs w:val="30"/>
          <w:highlight w:val="none"/>
          <w:lang w:val="zh-CN"/>
        </w:rPr>
      </w:pPr>
    </w:p>
    <w:p w14:paraId="34192ABA">
      <w:pPr>
        <w:pStyle w:val="28"/>
        <w:spacing w:line="320" w:lineRule="exact"/>
        <w:rPr>
          <w:rFonts w:hint="eastAsia" w:ascii="宋体" w:hAnsi="宋体" w:cs="宋体"/>
          <w:color w:val="000000"/>
          <w:sz w:val="32"/>
          <w:szCs w:val="32"/>
          <w:highlight w:val="none"/>
        </w:rPr>
      </w:pPr>
    </w:p>
    <w:p w14:paraId="63B29838">
      <w:pPr>
        <w:pStyle w:val="73"/>
        <w:rPr>
          <w:rFonts w:hint="eastAsia" w:eastAsia="宋体"/>
          <w:bCs/>
          <w:sz w:val="30"/>
          <w:szCs w:val="30"/>
          <w:highlight w:val="none"/>
          <w:lang w:val="zh-CN"/>
        </w:rPr>
      </w:pPr>
    </w:p>
    <w:bookmarkEnd w:id="65"/>
    <w:bookmarkEnd w:id="66"/>
    <w:bookmarkEnd w:id="67"/>
    <w:bookmarkEnd w:id="68"/>
    <w:bookmarkEnd w:id="69"/>
    <w:bookmarkEnd w:id="70"/>
    <w:bookmarkEnd w:id="71"/>
    <w:bookmarkEnd w:id="72"/>
    <w:bookmarkEnd w:id="73"/>
    <w:bookmarkEnd w:id="74"/>
    <w:bookmarkEnd w:id="75"/>
    <w:p w14:paraId="79C24728">
      <w:pPr>
        <w:pStyle w:val="28"/>
        <w:spacing w:line="320" w:lineRule="exact"/>
        <w:rPr>
          <w:rFonts w:hint="eastAsia" w:ascii="宋体" w:hAnsi="宋体" w:cs="宋体"/>
          <w:highlight w:val="none"/>
        </w:rPr>
      </w:pPr>
    </w:p>
    <w:sectPr>
      <w:footerReference r:id="rId15" w:type="default"/>
      <w:pgSz w:w="11906" w:h="16838"/>
      <w:pgMar w:top="1440" w:right="1752"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A443">
    <w:pPr>
      <w:pStyle w:val="24"/>
      <w:jc w:val="center"/>
    </w:pPr>
  </w:p>
  <w:p w14:paraId="6A4F24F9">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32865">
    <w:pPr>
      <w:pStyle w:val="24"/>
      <w:framePr w:wrap="around" w:vAnchor="text" w:hAnchor="margin" w:xAlign="right" w:y="1"/>
      <w:rPr>
        <w:rStyle w:val="42"/>
      </w:rPr>
    </w:pPr>
    <w:r>
      <w:fldChar w:fldCharType="begin"/>
    </w:r>
    <w:r>
      <w:rPr>
        <w:rStyle w:val="42"/>
      </w:rPr>
      <w:instrText xml:space="preserve">PAGE  </w:instrText>
    </w:r>
    <w:r>
      <w:fldChar w:fldCharType="end"/>
    </w:r>
  </w:p>
  <w:p w14:paraId="3211EF08">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A1C9">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N/c/RAQAApAMAAA4AAABkcnMvZTJvRG9jLnhtbK1TzY7TMBC+&#10;I/EOlu80acV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TYllBgd+/vnj/OvP&#10;+fd3ssz69B5qTHvwmBiHd27ArUm6pXvAy0R7kMGkLxIiGEd1Txd1xRAJT4+qVVWVGOIYmx3EKa7P&#10;fYD4XjhDktHQgOPLqrLjR4hj6pySqll3r7TOI9SW9Ih6U729yS8uIUTXFotcu01WHHbDRGHn2hMy&#10;63EHGmpx5SnRHyxKnNZlNsJs7Gbj4IPad3mfUivg7w4R28ldpgoj7FQYh5d5TouWtuNfP2ddf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fzf3P0QEAAKQDAAAOAAAAAAAAAAEAIAAAACIB&#10;AABkcnMvZTJvRG9jLnhtbFBLBQYAAAAABgAGAFkBAABlBQAAAAA=&#10;">
              <v:fill on="f" focussize="0,0"/>
              <v:stroke on="f" weight="1.25pt"/>
              <v:imagedata o:title=""/>
              <o:lock v:ext="edit" aspectratio="f"/>
              <v:textbox inset="0mm,0mm,0mm,0mm" style="mso-fit-shape-to-text:t;">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BBC8">
    <w:pPr>
      <w:pStyle w:val="24"/>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seNTS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S0osMzjw04/vp5+/&#10;T7++kZskT++hxqxnj3lxeHADLs18D3iZWA8ymPRFPgTjKO7xLK4YIuHpUbWsqhJDHGOzg/jFy3Mf&#10;IL4XzpBkNDTg9LKo7PAR4pg6p6Rq1j0qrfMEtSU9ol5Xt9f5xTmE6NpikcRi7DZZcdgOE7Wta4/I&#10;rMcVaKjFjadEf7CocNqW2QizsZ2NvQ9q1+V1Sq2Av99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Gx41NIBAACjAwAADgAAAAAAAAABACAAAAAi&#10;AQAAZHJzL2Uyb0RvYy54bWxQSwUGAAAAAAYABgBZAQAAZgUAAAAA&#10;">
              <v:fill on="f" focussize="0,0"/>
              <v:stroke on="f" weight="1.25pt"/>
              <v:imagedata o:title=""/>
              <o:lock v:ext="edit" aspectratio="f"/>
              <v:textbox inset="0mm,0mm,0mm,0mm" style="mso-fit-shape-to-text:t;">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2401A">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9</w:t>
    </w:r>
    <w:r>
      <w:fldChar w:fldCharType="end"/>
    </w:r>
  </w:p>
  <w:p w14:paraId="741AB311">
    <w:pPr>
      <w:pStyle w:val="2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DDAD">
    <w:pPr>
      <w:pStyle w:val="24"/>
      <w:ind w:right="36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7320"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47320" cy="131445"/>
                      </a:xfrm>
                      <a:prstGeom prst="rect">
                        <a:avLst/>
                      </a:prstGeom>
                      <a:noFill/>
                      <a:ln w="15875">
                        <a:noFill/>
                      </a:ln>
                    </wps:spPr>
                    <wps:txbx>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wps:txbx>
                    <wps:bodyPr wrap="square" lIns="0" tIns="0" rIns="0" bIns="0" upright="0"/>
                  </wps:wsp>
                </a:graphicData>
              </a:graphic>
            </wp:anchor>
          </w:drawing>
        </mc:Choice>
        <mc:Fallback>
          <w:pict>
            <v:shape id="文本框 3" o:spid="_x0000_s1026" o:spt="202" type="#_x0000_t202" style="position:absolute;left:0pt;margin-top:0pt;height:10.35pt;width:11.6pt;mso-position-horizontal:center;mso-position-horizontal-relative:margin;z-index:251659264;mso-width-relative:page;mso-height-relative:page;" filled="f" stroked="f" coordsize="21600,21600" o:gfxdata="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rAsrtMAAAADAQAADwAAAAAAAAABACAAAAAiAAAAZHJzL2Rvd25y&#10;ZXYueG1sUEsBAhQAFAAAAAgAh07iQPGaikLKAQAAiQMAAA4AAAAAAAAAAQAgAAAAIgEAAGRycy9l&#10;Mm9Eb2MueG1sUEsFBgAAAAAGAAYAWQEAAF4FAAAAAA==&#10;">
              <v:fill on="f" focussize="0,0"/>
              <v:stroke on="f" weight="1.25pt"/>
              <v:imagedata o:title=""/>
              <o:lock v:ext="edit" aspectratio="f"/>
              <v:textbox inset="0mm,0mm,0mm,0mm">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36E7">
    <w:pPr>
      <w:pStyle w:val="24"/>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59C864">
                          <w:pPr>
                            <w:pStyle w:val="24"/>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HDtvTAQAApAMAAA4AAABkcnMvZTJvRG9jLnhtbK1TzY7TMBC+&#10;I/EOlu80aaVdQt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ZPku6dN7qDHtzmNiHD64Abdmvge8TLQHGUz6IiGCcVT3dFFXDJHw9KhaVVWJIY6x2UH84uG5&#10;DxA/CmdIMhoacHxZVXb8DHFMnVNSNetuldZ5hNqSHlGvqr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cHDtvTAQAApAMAAA4AAAAAAAAAAQAgAAAA&#10;IgEAAGRycy9lMm9Eb2MueG1sUEsFBgAAAAAGAAYAWQEAAGcFAAAAAA==&#10;">
              <v:fill on="f" focussize="0,0"/>
              <v:stroke on="f" weight="1.25pt"/>
              <v:imagedata o:title=""/>
              <o:lock v:ext="edit" aspectratio="f"/>
              <v:textbox inset="0mm,0mm,0mm,0mm" style="mso-fit-shape-to-text:t;">
                <w:txbxContent>
                  <w:p w14:paraId="3459C864">
                    <w:pPr>
                      <w:pStyle w:val="2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F147F">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FEEBB3">
                          <w:pPr>
                            <w:pStyle w:val="2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xnTvSAQAApA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8sq6dN7qDHtyWNiHN67Abdmvge8TLQHGUz6IiGCcVT3dFFXDJHw9KhaVVWJIY6x2UH84vm5&#10;DxAfhDMkGQ0NOL6sKjt+gDimzimpmnX3Sus8Qm1Jj6g31e1NfnEJIbq2WCSxGLtNVhx2w0Rt59oT&#10;MutxBxpqceUp0Y8WJU7rMhthNnazcfBB7bu8T6kV8O8OEdvJXaYKI+xUGIeXeU6Llrbjbz9nPf9c&#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bGdO9IBAACkAwAADgAAAAAAAAABACAAAAAi&#10;AQAAZHJzL2Uyb0RvYy54bWxQSwUGAAAAAAYABgBZAQAAZgUAAAAA&#10;">
              <v:fill on="f" focussize="0,0"/>
              <v:stroke on="f" weight="1.25pt"/>
              <v:imagedata o:title=""/>
              <o:lock v:ext="edit" aspectratio="f"/>
              <v:textbox inset="0mm,0mm,0mm,0mm" style="mso-fit-shape-to-text:t;">
                <w:txbxContent>
                  <w:p w14:paraId="5CFEEBB3">
                    <w:pPr>
                      <w:pStyle w:val="2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1BB0C">
    <w:pPr>
      <w:pStyle w:val="24"/>
      <w:ind w:right="360"/>
      <w:jc w:val="both"/>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fcX/SAQAApA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dU2KZwYFffv64/Ppz&#10;+f2dLF8nfXoPNabde0yMwzs34NbM94CXifYgg0lfJEQwjuqer+qKIRKeHlWrqioxxDE2O4hfPDz3&#10;AeJ74QxJRkMDji+ryk4fIY6pc0qqZt2d0jqPUFvSI+q6ervOL64hRNcWiyQWY7fJisN+mKjtXXtG&#10;Zj3uQEMtrjwl+oNFidO6zEaYjf1sHH1Qhy7vU2oF/O0xYju5y1RhhJ0K4/Ayz2nR0nb86+esh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l9xf9IBAACkAwAADgAAAAAAAAABACAAAAAi&#10;AQAAZHJzL2Uyb0RvYy54bWxQSwUGAAAAAAYABgBZAQAAZgUAAAAA&#10;">
              <v:fill on="f" focussize="0,0"/>
              <v:stroke on="f" weight="1.25pt"/>
              <v:imagedata o:title=""/>
              <o:lock v:ext="edit" aspectratio="f"/>
              <v:textbox inset="0mm,0mm,0mm,0mm" style="mso-fit-shape-to-text:t;">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568CCA">
                          <w:pPr>
                            <w:rPr>
                              <w:rFonts w:hint="eastAsia"/>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mlljHSAQAAowMAAA4AAABkcnMvZTJvRG9jLnhtbK1TS27bMBDd&#10;F8gdCO5rKS7S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vqHEMoMDP/38cfr1&#10;5/T7O7lO8vQeasy695gXhw9uwKWZ7wEvE+tBBpO+yIdgHMU9nsUVQyQ8PaqWVVViiGNsdhC/eHru&#10;A8Q74QxJRkMDTi+Lyg6fII6pc0qqZt2t0jpPUFvSI+pV9e4qvziHEF1bLJJYjN0mKw7bYaK2de0R&#10;mfW4Ag21uPGU6I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aWWMdIBAACjAwAADgAAAAAAAAABACAAAAAi&#10;AQAAZHJzL2Uyb0RvYy54bWxQSwUGAAAAAAYABgBZAQAAZgUAAAAA&#10;">
              <v:fill on="f" focussize="0,0"/>
              <v:stroke on="f" weight="1.25pt"/>
              <v:imagedata o:title=""/>
              <o:lock v:ext="edit" aspectratio="f"/>
              <v:textbox inset="0mm,0mm,0mm,0mm" style="mso-fit-shape-to-text:t;">
                <w:txbxContent>
                  <w:p w14:paraId="51568CCA">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B1760">
    <w:pPr>
      <w:pStyle w:val="25"/>
    </w:pPr>
    <w:r>
      <w:rPr>
        <w:rFonts w:hint="eastAsia"/>
      </w:rPr>
      <w:t>吉林省驰茗项目管理咨询有限公司—招标文件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B6F81">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2912B">
    <w:pPr>
      <w:pStyle w:val="25"/>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A227">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A0A76"/>
    <w:multiLevelType w:val="singleLevel"/>
    <w:tmpl w:val="994A0A76"/>
    <w:lvl w:ilvl="0" w:tentative="0">
      <w:start w:val="1"/>
      <w:numFmt w:val="decimal"/>
      <w:suff w:val="nothing"/>
      <w:lvlText w:val="（%1）"/>
      <w:lvlJc w:val="left"/>
    </w:lvl>
  </w:abstractNum>
  <w:abstractNum w:abstractNumId="1">
    <w:nsid w:val="B80B3627"/>
    <w:multiLevelType w:val="singleLevel"/>
    <w:tmpl w:val="B80B3627"/>
    <w:lvl w:ilvl="0" w:tentative="0">
      <w:start w:val="1"/>
      <w:numFmt w:val="decimal"/>
      <w:suff w:val="nothing"/>
      <w:lvlText w:val="（%1）"/>
      <w:lvlJc w:val="left"/>
    </w:lvl>
  </w:abstractNum>
  <w:abstractNum w:abstractNumId="2">
    <w:nsid w:val="B88B8032"/>
    <w:multiLevelType w:val="singleLevel"/>
    <w:tmpl w:val="B88B8032"/>
    <w:lvl w:ilvl="0" w:tentative="0">
      <w:start w:val="1"/>
      <w:numFmt w:val="decimal"/>
      <w:suff w:val="nothing"/>
      <w:lvlText w:val="%1、"/>
      <w:lvlJc w:val="left"/>
    </w:lvl>
  </w:abstractNum>
  <w:abstractNum w:abstractNumId="3">
    <w:nsid w:val="C98688E0"/>
    <w:multiLevelType w:val="singleLevel"/>
    <w:tmpl w:val="C98688E0"/>
    <w:lvl w:ilvl="0" w:tentative="0">
      <w:start w:val="1"/>
      <w:numFmt w:val="decimal"/>
      <w:suff w:val="nothing"/>
      <w:lvlText w:val="%1、"/>
      <w:lvlJc w:val="left"/>
    </w:lvl>
  </w:abstractNum>
  <w:abstractNum w:abstractNumId="4">
    <w:nsid w:val="D60E80E4"/>
    <w:multiLevelType w:val="singleLevel"/>
    <w:tmpl w:val="D60E80E4"/>
    <w:lvl w:ilvl="0" w:tentative="0">
      <w:start w:val="2"/>
      <w:numFmt w:val="decimal"/>
      <w:suff w:val="nothing"/>
      <w:lvlText w:val="%1、"/>
      <w:lvlJc w:val="left"/>
    </w:lvl>
  </w:abstractNum>
  <w:abstractNum w:abstractNumId="5">
    <w:nsid w:val="DF895AAF"/>
    <w:multiLevelType w:val="singleLevel"/>
    <w:tmpl w:val="DF895AAF"/>
    <w:lvl w:ilvl="0" w:tentative="0">
      <w:start w:val="1"/>
      <w:numFmt w:val="decimal"/>
      <w:suff w:val="nothing"/>
      <w:lvlText w:val="（%1）"/>
      <w:lvlJc w:val="left"/>
    </w:lvl>
  </w:abstractNum>
  <w:abstractNum w:abstractNumId="6">
    <w:nsid w:val="F76802D5"/>
    <w:multiLevelType w:val="singleLevel"/>
    <w:tmpl w:val="F76802D5"/>
    <w:lvl w:ilvl="0" w:tentative="0">
      <w:start w:val="1"/>
      <w:numFmt w:val="decimal"/>
      <w:suff w:val="nothing"/>
      <w:lvlText w:val="%1、"/>
      <w:lvlJc w:val="left"/>
    </w:lvl>
  </w:abstractNum>
  <w:abstractNum w:abstractNumId="7">
    <w:nsid w:val="F8029CE6"/>
    <w:multiLevelType w:val="singleLevel"/>
    <w:tmpl w:val="F8029CE6"/>
    <w:lvl w:ilvl="0" w:tentative="0">
      <w:start w:val="1"/>
      <w:numFmt w:val="decimal"/>
      <w:suff w:val="nothing"/>
      <w:lvlText w:val="%1、"/>
      <w:lvlJc w:val="left"/>
    </w:lvl>
  </w:abstractNum>
  <w:abstractNum w:abstractNumId="8">
    <w:nsid w:val="00000006"/>
    <w:multiLevelType w:val="multilevel"/>
    <w:tmpl w:val="00000006"/>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9">
    <w:nsid w:val="009C0639"/>
    <w:multiLevelType w:val="multilevel"/>
    <w:tmpl w:val="009C0639"/>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5B41DD1"/>
    <w:multiLevelType w:val="singleLevel"/>
    <w:tmpl w:val="05B41DD1"/>
    <w:lvl w:ilvl="0" w:tentative="0">
      <w:start w:val="1"/>
      <w:numFmt w:val="decimal"/>
      <w:suff w:val="nothing"/>
      <w:lvlText w:val="（%1）"/>
      <w:lvlJc w:val="left"/>
    </w:lvl>
  </w:abstractNum>
  <w:abstractNum w:abstractNumId="11">
    <w:nsid w:val="0935783D"/>
    <w:multiLevelType w:val="multilevel"/>
    <w:tmpl w:val="0935783D"/>
    <w:lvl w:ilvl="0" w:tentative="0">
      <w:start w:val="1"/>
      <w:numFmt w:val="decimalEnclosedParen"/>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776883"/>
    <w:multiLevelType w:val="multilevel"/>
    <w:tmpl w:val="13776883"/>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872B38"/>
    <w:multiLevelType w:val="multilevel"/>
    <w:tmpl w:val="27872B3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921818"/>
    <w:multiLevelType w:val="multilevel"/>
    <w:tmpl w:val="2C92181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4F78E1B"/>
    <w:multiLevelType w:val="singleLevel"/>
    <w:tmpl w:val="34F78E1B"/>
    <w:lvl w:ilvl="0" w:tentative="0">
      <w:start w:val="1"/>
      <w:numFmt w:val="chineseCounting"/>
      <w:suff w:val="nothing"/>
      <w:lvlText w:val="（%1）"/>
      <w:lvlJc w:val="left"/>
      <w:pPr>
        <w:ind w:left="2380" w:firstLine="0"/>
      </w:pPr>
      <w:rPr>
        <w:rFonts w:hint="eastAsia"/>
      </w:rPr>
    </w:lvl>
  </w:abstractNum>
  <w:abstractNum w:abstractNumId="16">
    <w:nsid w:val="37726199"/>
    <w:multiLevelType w:val="multilevel"/>
    <w:tmpl w:val="37726199"/>
    <w:lvl w:ilvl="0" w:tentative="0">
      <w:start w:val="1"/>
      <w:numFmt w:val="decimalEnclosedParen"/>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8">
    <w:nsid w:val="481D6E5A"/>
    <w:multiLevelType w:val="singleLevel"/>
    <w:tmpl w:val="481D6E5A"/>
    <w:lvl w:ilvl="0" w:tentative="0">
      <w:start w:val="1"/>
      <w:numFmt w:val="decimal"/>
      <w:suff w:val="nothing"/>
      <w:lvlText w:val="（%1）"/>
      <w:lvlJc w:val="left"/>
    </w:lvl>
  </w:abstractNum>
  <w:abstractNum w:abstractNumId="19">
    <w:nsid w:val="51894081"/>
    <w:multiLevelType w:val="multilevel"/>
    <w:tmpl w:val="5189408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78C7A1E"/>
    <w:multiLevelType w:val="singleLevel"/>
    <w:tmpl w:val="578C7A1E"/>
    <w:lvl w:ilvl="0" w:tentative="0">
      <w:start w:val="1"/>
      <w:numFmt w:val="decimal"/>
      <w:suff w:val="nothing"/>
      <w:lvlText w:val="%1、"/>
      <w:lvlJc w:val="left"/>
    </w:lvl>
  </w:abstractNum>
  <w:abstractNum w:abstractNumId="21">
    <w:nsid w:val="610B27CE"/>
    <w:multiLevelType w:val="multilevel"/>
    <w:tmpl w:val="610B27CE"/>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CE932C1"/>
    <w:multiLevelType w:val="singleLevel"/>
    <w:tmpl w:val="6CE932C1"/>
    <w:lvl w:ilvl="0" w:tentative="0">
      <w:start w:val="4"/>
      <w:numFmt w:val="decimal"/>
      <w:lvlText w:val="%1."/>
      <w:lvlJc w:val="left"/>
      <w:pPr>
        <w:tabs>
          <w:tab w:val="left" w:pos="312"/>
        </w:tabs>
      </w:pPr>
    </w:lvl>
  </w:abstractNum>
  <w:num w:numId="1">
    <w:abstractNumId w:val="8"/>
  </w:num>
  <w:num w:numId="2">
    <w:abstractNumId w:val="17"/>
  </w:num>
  <w:num w:numId="3">
    <w:abstractNumId w:val="22"/>
  </w:num>
  <w:num w:numId="4">
    <w:abstractNumId w:val="3"/>
  </w:num>
  <w:num w:numId="5">
    <w:abstractNumId w:val="20"/>
  </w:num>
  <w:num w:numId="6">
    <w:abstractNumId w:val="4"/>
  </w:num>
  <w:num w:numId="7">
    <w:abstractNumId w:val="18"/>
  </w:num>
  <w:num w:numId="8">
    <w:abstractNumId w:val="6"/>
  </w:num>
  <w:num w:numId="9">
    <w:abstractNumId w:val="0"/>
  </w:num>
  <w:num w:numId="10">
    <w:abstractNumId w:val="5"/>
  </w:num>
  <w:num w:numId="11">
    <w:abstractNumId w:val="10"/>
  </w:num>
  <w:num w:numId="12">
    <w:abstractNumId w:val="2"/>
  </w:num>
  <w:num w:numId="13">
    <w:abstractNumId w:val="7"/>
  </w:num>
  <w:num w:numId="14">
    <w:abstractNumId w:val="1"/>
  </w:num>
  <w:num w:numId="15">
    <w:abstractNumId w:val="14"/>
  </w:num>
  <w:num w:numId="16">
    <w:abstractNumId w:val="13"/>
  </w:num>
  <w:num w:numId="17">
    <w:abstractNumId w:val="11"/>
  </w:num>
  <w:num w:numId="18">
    <w:abstractNumId w:val="12"/>
  </w:num>
  <w:num w:numId="19">
    <w:abstractNumId w:val="9"/>
  </w:num>
  <w:num w:numId="20">
    <w:abstractNumId w:val="21"/>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2RlNWM5OTU3MDA5OTllZDhkYzM4YjM3ODJjMGQifQ=="/>
  </w:docVars>
  <w:rsids>
    <w:rsidRoot w:val="00172A27"/>
    <w:rsid w:val="00000657"/>
    <w:rsid w:val="0000123A"/>
    <w:rsid w:val="000013D6"/>
    <w:rsid w:val="00001E77"/>
    <w:rsid w:val="0000212C"/>
    <w:rsid w:val="00003BB9"/>
    <w:rsid w:val="00005C5F"/>
    <w:rsid w:val="0000649E"/>
    <w:rsid w:val="0000706A"/>
    <w:rsid w:val="00007A3F"/>
    <w:rsid w:val="000105E9"/>
    <w:rsid w:val="0001249E"/>
    <w:rsid w:val="00014200"/>
    <w:rsid w:val="0001475D"/>
    <w:rsid w:val="000161F6"/>
    <w:rsid w:val="00017136"/>
    <w:rsid w:val="00017EE4"/>
    <w:rsid w:val="00020FB2"/>
    <w:rsid w:val="00021C03"/>
    <w:rsid w:val="0002238F"/>
    <w:rsid w:val="00024239"/>
    <w:rsid w:val="000244A9"/>
    <w:rsid w:val="00024A98"/>
    <w:rsid w:val="00025FE6"/>
    <w:rsid w:val="00026236"/>
    <w:rsid w:val="000266CA"/>
    <w:rsid w:val="00032630"/>
    <w:rsid w:val="0003284B"/>
    <w:rsid w:val="00032E9A"/>
    <w:rsid w:val="0003355D"/>
    <w:rsid w:val="00033E21"/>
    <w:rsid w:val="00034234"/>
    <w:rsid w:val="0003423E"/>
    <w:rsid w:val="000346C5"/>
    <w:rsid w:val="00036868"/>
    <w:rsid w:val="00036E03"/>
    <w:rsid w:val="0003738F"/>
    <w:rsid w:val="00037B0A"/>
    <w:rsid w:val="000405E1"/>
    <w:rsid w:val="00043B13"/>
    <w:rsid w:val="00045A87"/>
    <w:rsid w:val="000477E2"/>
    <w:rsid w:val="00047C2A"/>
    <w:rsid w:val="00050296"/>
    <w:rsid w:val="00051366"/>
    <w:rsid w:val="000529B5"/>
    <w:rsid w:val="00052CD6"/>
    <w:rsid w:val="0005386B"/>
    <w:rsid w:val="00054651"/>
    <w:rsid w:val="000570D1"/>
    <w:rsid w:val="00057222"/>
    <w:rsid w:val="0005780C"/>
    <w:rsid w:val="000610F4"/>
    <w:rsid w:val="000626D0"/>
    <w:rsid w:val="00062E50"/>
    <w:rsid w:val="00063772"/>
    <w:rsid w:val="0006443C"/>
    <w:rsid w:val="00064C1E"/>
    <w:rsid w:val="000664B0"/>
    <w:rsid w:val="00066875"/>
    <w:rsid w:val="0006689E"/>
    <w:rsid w:val="00066C8E"/>
    <w:rsid w:val="000670F8"/>
    <w:rsid w:val="00067A66"/>
    <w:rsid w:val="000706F6"/>
    <w:rsid w:val="00071C62"/>
    <w:rsid w:val="00071C73"/>
    <w:rsid w:val="00073A06"/>
    <w:rsid w:val="00075843"/>
    <w:rsid w:val="00075AE8"/>
    <w:rsid w:val="00076E5F"/>
    <w:rsid w:val="00077B67"/>
    <w:rsid w:val="000806C2"/>
    <w:rsid w:val="000811B8"/>
    <w:rsid w:val="000814AB"/>
    <w:rsid w:val="0008246D"/>
    <w:rsid w:val="00083485"/>
    <w:rsid w:val="00083CE4"/>
    <w:rsid w:val="00083E6F"/>
    <w:rsid w:val="00084C34"/>
    <w:rsid w:val="00084D1D"/>
    <w:rsid w:val="00084EF5"/>
    <w:rsid w:val="000869B1"/>
    <w:rsid w:val="00086DE2"/>
    <w:rsid w:val="000876E6"/>
    <w:rsid w:val="00087E18"/>
    <w:rsid w:val="00090039"/>
    <w:rsid w:val="0009066E"/>
    <w:rsid w:val="000906C1"/>
    <w:rsid w:val="00092CDE"/>
    <w:rsid w:val="00094986"/>
    <w:rsid w:val="00096F28"/>
    <w:rsid w:val="000A005B"/>
    <w:rsid w:val="000A2F18"/>
    <w:rsid w:val="000A36E9"/>
    <w:rsid w:val="000A3EA7"/>
    <w:rsid w:val="000A4BB3"/>
    <w:rsid w:val="000A4F02"/>
    <w:rsid w:val="000A58BB"/>
    <w:rsid w:val="000A5CC2"/>
    <w:rsid w:val="000A5FBF"/>
    <w:rsid w:val="000A63D7"/>
    <w:rsid w:val="000B0702"/>
    <w:rsid w:val="000B103A"/>
    <w:rsid w:val="000B3A24"/>
    <w:rsid w:val="000B439E"/>
    <w:rsid w:val="000B4D51"/>
    <w:rsid w:val="000B4DAA"/>
    <w:rsid w:val="000B52D8"/>
    <w:rsid w:val="000B5A03"/>
    <w:rsid w:val="000B73FB"/>
    <w:rsid w:val="000C0191"/>
    <w:rsid w:val="000C1D65"/>
    <w:rsid w:val="000C29EE"/>
    <w:rsid w:val="000C2DEA"/>
    <w:rsid w:val="000C495A"/>
    <w:rsid w:val="000C4BFC"/>
    <w:rsid w:val="000C5619"/>
    <w:rsid w:val="000C78A1"/>
    <w:rsid w:val="000D04B1"/>
    <w:rsid w:val="000D1051"/>
    <w:rsid w:val="000D3BFD"/>
    <w:rsid w:val="000D45F3"/>
    <w:rsid w:val="000D5BF7"/>
    <w:rsid w:val="000D6027"/>
    <w:rsid w:val="000D6778"/>
    <w:rsid w:val="000E0103"/>
    <w:rsid w:val="000E030B"/>
    <w:rsid w:val="000E18F4"/>
    <w:rsid w:val="000E3033"/>
    <w:rsid w:val="000E6952"/>
    <w:rsid w:val="000E69AC"/>
    <w:rsid w:val="000E7DE9"/>
    <w:rsid w:val="000E7F4D"/>
    <w:rsid w:val="000E7FF5"/>
    <w:rsid w:val="000F0D34"/>
    <w:rsid w:val="000F1091"/>
    <w:rsid w:val="000F323C"/>
    <w:rsid w:val="000F33C0"/>
    <w:rsid w:val="000F374A"/>
    <w:rsid w:val="000F5B6B"/>
    <w:rsid w:val="000F6CCF"/>
    <w:rsid w:val="000F741E"/>
    <w:rsid w:val="000F7B87"/>
    <w:rsid w:val="00100802"/>
    <w:rsid w:val="001016A6"/>
    <w:rsid w:val="00101A82"/>
    <w:rsid w:val="001027CB"/>
    <w:rsid w:val="0010412A"/>
    <w:rsid w:val="00104367"/>
    <w:rsid w:val="00105EED"/>
    <w:rsid w:val="00106238"/>
    <w:rsid w:val="0011081C"/>
    <w:rsid w:val="001110A6"/>
    <w:rsid w:val="00111F27"/>
    <w:rsid w:val="00114C87"/>
    <w:rsid w:val="001164EF"/>
    <w:rsid w:val="00117BEF"/>
    <w:rsid w:val="0012027B"/>
    <w:rsid w:val="00120E9B"/>
    <w:rsid w:val="00120FEE"/>
    <w:rsid w:val="00122312"/>
    <w:rsid w:val="0012273D"/>
    <w:rsid w:val="00126582"/>
    <w:rsid w:val="00126CB4"/>
    <w:rsid w:val="00127AB7"/>
    <w:rsid w:val="001306C3"/>
    <w:rsid w:val="0013196E"/>
    <w:rsid w:val="00133FCB"/>
    <w:rsid w:val="00134057"/>
    <w:rsid w:val="00135417"/>
    <w:rsid w:val="001354C3"/>
    <w:rsid w:val="00137C23"/>
    <w:rsid w:val="00137D9F"/>
    <w:rsid w:val="00140CE9"/>
    <w:rsid w:val="00140E17"/>
    <w:rsid w:val="0014476D"/>
    <w:rsid w:val="001447A5"/>
    <w:rsid w:val="00144D1E"/>
    <w:rsid w:val="00144DA7"/>
    <w:rsid w:val="00144F4E"/>
    <w:rsid w:val="00151CDE"/>
    <w:rsid w:val="001521EB"/>
    <w:rsid w:val="00152C0C"/>
    <w:rsid w:val="00153464"/>
    <w:rsid w:val="00153A55"/>
    <w:rsid w:val="0015591A"/>
    <w:rsid w:val="00155B50"/>
    <w:rsid w:val="00155CE8"/>
    <w:rsid w:val="00156B32"/>
    <w:rsid w:val="00160069"/>
    <w:rsid w:val="0016011B"/>
    <w:rsid w:val="0016017C"/>
    <w:rsid w:val="00160686"/>
    <w:rsid w:val="00160730"/>
    <w:rsid w:val="00160B0F"/>
    <w:rsid w:val="00163DC2"/>
    <w:rsid w:val="00164819"/>
    <w:rsid w:val="00164E49"/>
    <w:rsid w:val="001668A0"/>
    <w:rsid w:val="001669D6"/>
    <w:rsid w:val="00170778"/>
    <w:rsid w:val="0017154E"/>
    <w:rsid w:val="001743F7"/>
    <w:rsid w:val="00176C90"/>
    <w:rsid w:val="00176E62"/>
    <w:rsid w:val="0017737F"/>
    <w:rsid w:val="00177B28"/>
    <w:rsid w:val="00184B61"/>
    <w:rsid w:val="00184D76"/>
    <w:rsid w:val="001857B9"/>
    <w:rsid w:val="00186501"/>
    <w:rsid w:val="00187629"/>
    <w:rsid w:val="00193255"/>
    <w:rsid w:val="00193B28"/>
    <w:rsid w:val="00195F7A"/>
    <w:rsid w:val="00197AB6"/>
    <w:rsid w:val="001A09EF"/>
    <w:rsid w:val="001A1369"/>
    <w:rsid w:val="001A13BA"/>
    <w:rsid w:val="001A1DDC"/>
    <w:rsid w:val="001A259E"/>
    <w:rsid w:val="001A2BF3"/>
    <w:rsid w:val="001A2F46"/>
    <w:rsid w:val="001A342A"/>
    <w:rsid w:val="001A3F63"/>
    <w:rsid w:val="001A5865"/>
    <w:rsid w:val="001A68AB"/>
    <w:rsid w:val="001A6AA2"/>
    <w:rsid w:val="001A7642"/>
    <w:rsid w:val="001B4541"/>
    <w:rsid w:val="001B47DE"/>
    <w:rsid w:val="001B489D"/>
    <w:rsid w:val="001B5197"/>
    <w:rsid w:val="001B558D"/>
    <w:rsid w:val="001B6604"/>
    <w:rsid w:val="001B739F"/>
    <w:rsid w:val="001C0430"/>
    <w:rsid w:val="001C20BD"/>
    <w:rsid w:val="001C27DB"/>
    <w:rsid w:val="001C3C8E"/>
    <w:rsid w:val="001C45F7"/>
    <w:rsid w:val="001C5084"/>
    <w:rsid w:val="001C554C"/>
    <w:rsid w:val="001C5852"/>
    <w:rsid w:val="001C78C4"/>
    <w:rsid w:val="001D062E"/>
    <w:rsid w:val="001D1104"/>
    <w:rsid w:val="001D2087"/>
    <w:rsid w:val="001D2D22"/>
    <w:rsid w:val="001D2E0F"/>
    <w:rsid w:val="001D3786"/>
    <w:rsid w:val="001D48EF"/>
    <w:rsid w:val="001D5798"/>
    <w:rsid w:val="001D6AB1"/>
    <w:rsid w:val="001D7414"/>
    <w:rsid w:val="001E106F"/>
    <w:rsid w:val="001E1DEE"/>
    <w:rsid w:val="001E2EFE"/>
    <w:rsid w:val="001E327D"/>
    <w:rsid w:val="001E43CC"/>
    <w:rsid w:val="001E5B90"/>
    <w:rsid w:val="001E5BB4"/>
    <w:rsid w:val="001E679C"/>
    <w:rsid w:val="001F0C6F"/>
    <w:rsid w:val="001F0E7E"/>
    <w:rsid w:val="001F4197"/>
    <w:rsid w:val="001F45CA"/>
    <w:rsid w:val="001F45DF"/>
    <w:rsid w:val="001F4EB0"/>
    <w:rsid w:val="001F5F65"/>
    <w:rsid w:val="001F6275"/>
    <w:rsid w:val="001F6D93"/>
    <w:rsid w:val="001F71A7"/>
    <w:rsid w:val="00200110"/>
    <w:rsid w:val="00201F6D"/>
    <w:rsid w:val="002034D8"/>
    <w:rsid w:val="00204D51"/>
    <w:rsid w:val="0020577D"/>
    <w:rsid w:val="002058B5"/>
    <w:rsid w:val="00205BC9"/>
    <w:rsid w:val="00206E5E"/>
    <w:rsid w:val="00206F72"/>
    <w:rsid w:val="00207A8F"/>
    <w:rsid w:val="00207DE4"/>
    <w:rsid w:val="00210205"/>
    <w:rsid w:val="002107F9"/>
    <w:rsid w:val="00210AA3"/>
    <w:rsid w:val="00211D3A"/>
    <w:rsid w:val="0021227F"/>
    <w:rsid w:val="0021263B"/>
    <w:rsid w:val="00213D3C"/>
    <w:rsid w:val="0022018F"/>
    <w:rsid w:val="002207BC"/>
    <w:rsid w:val="00220D02"/>
    <w:rsid w:val="00221465"/>
    <w:rsid w:val="0022176E"/>
    <w:rsid w:val="002225B0"/>
    <w:rsid w:val="002246FA"/>
    <w:rsid w:val="00224E95"/>
    <w:rsid w:val="0022645F"/>
    <w:rsid w:val="002267D1"/>
    <w:rsid w:val="00227510"/>
    <w:rsid w:val="00227689"/>
    <w:rsid w:val="00230D2A"/>
    <w:rsid w:val="00231CB3"/>
    <w:rsid w:val="0023336B"/>
    <w:rsid w:val="002339CD"/>
    <w:rsid w:val="0023455C"/>
    <w:rsid w:val="00235D7A"/>
    <w:rsid w:val="0024010C"/>
    <w:rsid w:val="00243943"/>
    <w:rsid w:val="002440BC"/>
    <w:rsid w:val="0024426B"/>
    <w:rsid w:val="00247BF6"/>
    <w:rsid w:val="002507A2"/>
    <w:rsid w:val="00252109"/>
    <w:rsid w:val="002539B7"/>
    <w:rsid w:val="00262546"/>
    <w:rsid w:val="00262C92"/>
    <w:rsid w:val="00263167"/>
    <w:rsid w:val="002656CD"/>
    <w:rsid w:val="00271C67"/>
    <w:rsid w:val="0027230B"/>
    <w:rsid w:val="00273646"/>
    <w:rsid w:val="0027473E"/>
    <w:rsid w:val="0027536A"/>
    <w:rsid w:val="0027537A"/>
    <w:rsid w:val="00275BC5"/>
    <w:rsid w:val="0027613D"/>
    <w:rsid w:val="0028034F"/>
    <w:rsid w:val="00280A20"/>
    <w:rsid w:val="00281727"/>
    <w:rsid w:val="0028385A"/>
    <w:rsid w:val="002841D8"/>
    <w:rsid w:val="002847C4"/>
    <w:rsid w:val="00284E6D"/>
    <w:rsid w:val="002851B9"/>
    <w:rsid w:val="00285D1D"/>
    <w:rsid w:val="00286B9F"/>
    <w:rsid w:val="00290944"/>
    <w:rsid w:val="00290EBD"/>
    <w:rsid w:val="00291979"/>
    <w:rsid w:val="00291CD4"/>
    <w:rsid w:val="00292FFF"/>
    <w:rsid w:val="00293D24"/>
    <w:rsid w:val="00293E56"/>
    <w:rsid w:val="00294327"/>
    <w:rsid w:val="0029554B"/>
    <w:rsid w:val="002A0575"/>
    <w:rsid w:val="002A16D6"/>
    <w:rsid w:val="002A32B4"/>
    <w:rsid w:val="002A3CFE"/>
    <w:rsid w:val="002A6ADB"/>
    <w:rsid w:val="002A7A18"/>
    <w:rsid w:val="002B0223"/>
    <w:rsid w:val="002B2808"/>
    <w:rsid w:val="002B75EF"/>
    <w:rsid w:val="002B7C57"/>
    <w:rsid w:val="002C24B2"/>
    <w:rsid w:val="002C2C77"/>
    <w:rsid w:val="002C50D4"/>
    <w:rsid w:val="002C5E95"/>
    <w:rsid w:val="002C6FDB"/>
    <w:rsid w:val="002D0208"/>
    <w:rsid w:val="002D1944"/>
    <w:rsid w:val="002D1A62"/>
    <w:rsid w:val="002D3356"/>
    <w:rsid w:val="002D457E"/>
    <w:rsid w:val="002D5CBB"/>
    <w:rsid w:val="002E1985"/>
    <w:rsid w:val="002E562F"/>
    <w:rsid w:val="002E6290"/>
    <w:rsid w:val="002E6537"/>
    <w:rsid w:val="002E6C77"/>
    <w:rsid w:val="002E74A1"/>
    <w:rsid w:val="002E7A9A"/>
    <w:rsid w:val="002E7AE7"/>
    <w:rsid w:val="002F047F"/>
    <w:rsid w:val="002F11B8"/>
    <w:rsid w:val="002F1777"/>
    <w:rsid w:val="002F22DB"/>
    <w:rsid w:val="002F2D9A"/>
    <w:rsid w:val="002F308C"/>
    <w:rsid w:val="002F3722"/>
    <w:rsid w:val="002F3FE1"/>
    <w:rsid w:val="002F4C70"/>
    <w:rsid w:val="002F4D47"/>
    <w:rsid w:val="002F5027"/>
    <w:rsid w:val="002F5236"/>
    <w:rsid w:val="002F57CA"/>
    <w:rsid w:val="002F6304"/>
    <w:rsid w:val="002F6720"/>
    <w:rsid w:val="002F726A"/>
    <w:rsid w:val="003006E4"/>
    <w:rsid w:val="0030134A"/>
    <w:rsid w:val="00301608"/>
    <w:rsid w:val="003025B9"/>
    <w:rsid w:val="00303ED5"/>
    <w:rsid w:val="00307403"/>
    <w:rsid w:val="00307409"/>
    <w:rsid w:val="003076D0"/>
    <w:rsid w:val="0031099E"/>
    <w:rsid w:val="00313EEF"/>
    <w:rsid w:val="00314A93"/>
    <w:rsid w:val="0031531D"/>
    <w:rsid w:val="00315FC9"/>
    <w:rsid w:val="00316F5B"/>
    <w:rsid w:val="003179CA"/>
    <w:rsid w:val="00317A2E"/>
    <w:rsid w:val="0032005D"/>
    <w:rsid w:val="003212C1"/>
    <w:rsid w:val="00321AA5"/>
    <w:rsid w:val="00321F47"/>
    <w:rsid w:val="003254C0"/>
    <w:rsid w:val="0032570D"/>
    <w:rsid w:val="003267C1"/>
    <w:rsid w:val="003302A1"/>
    <w:rsid w:val="0033045C"/>
    <w:rsid w:val="00330F46"/>
    <w:rsid w:val="00331E1B"/>
    <w:rsid w:val="0033203D"/>
    <w:rsid w:val="00332331"/>
    <w:rsid w:val="003323DC"/>
    <w:rsid w:val="00332B8D"/>
    <w:rsid w:val="00333DD8"/>
    <w:rsid w:val="00334189"/>
    <w:rsid w:val="003368AF"/>
    <w:rsid w:val="00340C24"/>
    <w:rsid w:val="00340C51"/>
    <w:rsid w:val="0034289D"/>
    <w:rsid w:val="0034332C"/>
    <w:rsid w:val="00343C34"/>
    <w:rsid w:val="00346813"/>
    <w:rsid w:val="00351D36"/>
    <w:rsid w:val="00352E51"/>
    <w:rsid w:val="00354CFA"/>
    <w:rsid w:val="00355230"/>
    <w:rsid w:val="0035596E"/>
    <w:rsid w:val="00355FE8"/>
    <w:rsid w:val="003605C0"/>
    <w:rsid w:val="00360E6E"/>
    <w:rsid w:val="0036133B"/>
    <w:rsid w:val="00361A6E"/>
    <w:rsid w:val="003628DB"/>
    <w:rsid w:val="003629FF"/>
    <w:rsid w:val="00363004"/>
    <w:rsid w:val="00363A4C"/>
    <w:rsid w:val="00363AAD"/>
    <w:rsid w:val="0036539C"/>
    <w:rsid w:val="00365AF4"/>
    <w:rsid w:val="00367D0C"/>
    <w:rsid w:val="00372330"/>
    <w:rsid w:val="00377101"/>
    <w:rsid w:val="00380287"/>
    <w:rsid w:val="00380ABA"/>
    <w:rsid w:val="00381CCC"/>
    <w:rsid w:val="00382140"/>
    <w:rsid w:val="00383133"/>
    <w:rsid w:val="00385E12"/>
    <w:rsid w:val="00386663"/>
    <w:rsid w:val="00387946"/>
    <w:rsid w:val="00387BAC"/>
    <w:rsid w:val="003934C0"/>
    <w:rsid w:val="003937C1"/>
    <w:rsid w:val="00394BA3"/>
    <w:rsid w:val="0039636D"/>
    <w:rsid w:val="003A0307"/>
    <w:rsid w:val="003A2E27"/>
    <w:rsid w:val="003A56E8"/>
    <w:rsid w:val="003A5A38"/>
    <w:rsid w:val="003A5DBF"/>
    <w:rsid w:val="003A733A"/>
    <w:rsid w:val="003A7DC7"/>
    <w:rsid w:val="003B0D91"/>
    <w:rsid w:val="003B3997"/>
    <w:rsid w:val="003B4619"/>
    <w:rsid w:val="003B4E0F"/>
    <w:rsid w:val="003B5C08"/>
    <w:rsid w:val="003B6D80"/>
    <w:rsid w:val="003C139B"/>
    <w:rsid w:val="003C1810"/>
    <w:rsid w:val="003C341D"/>
    <w:rsid w:val="003C4733"/>
    <w:rsid w:val="003C4A1A"/>
    <w:rsid w:val="003C69C2"/>
    <w:rsid w:val="003C6FCE"/>
    <w:rsid w:val="003C784F"/>
    <w:rsid w:val="003D14CF"/>
    <w:rsid w:val="003D739D"/>
    <w:rsid w:val="003D7D39"/>
    <w:rsid w:val="003D7E89"/>
    <w:rsid w:val="003E046E"/>
    <w:rsid w:val="003E0F06"/>
    <w:rsid w:val="003E23F0"/>
    <w:rsid w:val="003E2F91"/>
    <w:rsid w:val="003E5F1A"/>
    <w:rsid w:val="003E5F37"/>
    <w:rsid w:val="003E6099"/>
    <w:rsid w:val="003E730D"/>
    <w:rsid w:val="003E747C"/>
    <w:rsid w:val="003F0843"/>
    <w:rsid w:val="003F0BAF"/>
    <w:rsid w:val="003F31F1"/>
    <w:rsid w:val="003F340B"/>
    <w:rsid w:val="003F3DF5"/>
    <w:rsid w:val="003F47FE"/>
    <w:rsid w:val="003F667B"/>
    <w:rsid w:val="003F6B85"/>
    <w:rsid w:val="003F7416"/>
    <w:rsid w:val="00400688"/>
    <w:rsid w:val="0040185F"/>
    <w:rsid w:val="00401B1A"/>
    <w:rsid w:val="00402775"/>
    <w:rsid w:val="00402832"/>
    <w:rsid w:val="00402985"/>
    <w:rsid w:val="00405090"/>
    <w:rsid w:val="00407407"/>
    <w:rsid w:val="00410EB1"/>
    <w:rsid w:val="00412650"/>
    <w:rsid w:val="004127A5"/>
    <w:rsid w:val="004131D0"/>
    <w:rsid w:val="004171FE"/>
    <w:rsid w:val="00417E44"/>
    <w:rsid w:val="00421D6E"/>
    <w:rsid w:val="0042289D"/>
    <w:rsid w:val="00426268"/>
    <w:rsid w:val="00426CD7"/>
    <w:rsid w:val="00427EB0"/>
    <w:rsid w:val="00433776"/>
    <w:rsid w:val="00433F02"/>
    <w:rsid w:val="00435F26"/>
    <w:rsid w:val="00440CA7"/>
    <w:rsid w:val="00440D09"/>
    <w:rsid w:val="00443AE5"/>
    <w:rsid w:val="004445B4"/>
    <w:rsid w:val="004448FE"/>
    <w:rsid w:val="00444F21"/>
    <w:rsid w:val="00445CB7"/>
    <w:rsid w:val="00446D8C"/>
    <w:rsid w:val="00446F5F"/>
    <w:rsid w:val="00447100"/>
    <w:rsid w:val="00450C03"/>
    <w:rsid w:val="00452272"/>
    <w:rsid w:val="004526D3"/>
    <w:rsid w:val="00452A2A"/>
    <w:rsid w:val="00454463"/>
    <w:rsid w:val="00456044"/>
    <w:rsid w:val="00457707"/>
    <w:rsid w:val="004603DA"/>
    <w:rsid w:val="004609F5"/>
    <w:rsid w:val="00460FF4"/>
    <w:rsid w:val="0046194B"/>
    <w:rsid w:val="00461C7A"/>
    <w:rsid w:val="0046210A"/>
    <w:rsid w:val="004629DD"/>
    <w:rsid w:val="00462CB5"/>
    <w:rsid w:val="004639D7"/>
    <w:rsid w:val="004640B1"/>
    <w:rsid w:val="0046484E"/>
    <w:rsid w:val="004649FE"/>
    <w:rsid w:val="00464F78"/>
    <w:rsid w:val="00466757"/>
    <w:rsid w:val="00467BC5"/>
    <w:rsid w:val="00470A53"/>
    <w:rsid w:val="004718DF"/>
    <w:rsid w:val="00472C72"/>
    <w:rsid w:val="00472F22"/>
    <w:rsid w:val="004739E3"/>
    <w:rsid w:val="00474F77"/>
    <w:rsid w:val="004771CF"/>
    <w:rsid w:val="00477585"/>
    <w:rsid w:val="0048443B"/>
    <w:rsid w:val="00484A83"/>
    <w:rsid w:val="00484CB2"/>
    <w:rsid w:val="0048665E"/>
    <w:rsid w:val="00487D31"/>
    <w:rsid w:val="0049048D"/>
    <w:rsid w:val="00491546"/>
    <w:rsid w:val="004918C5"/>
    <w:rsid w:val="004921B1"/>
    <w:rsid w:val="004921BB"/>
    <w:rsid w:val="004946BF"/>
    <w:rsid w:val="004946F6"/>
    <w:rsid w:val="004948C5"/>
    <w:rsid w:val="0049764A"/>
    <w:rsid w:val="004A0554"/>
    <w:rsid w:val="004A1193"/>
    <w:rsid w:val="004A2B25"/>
    <w:rsid w:val="004A3E0D"/>
    <w:rsid w:val="004A50A7"/>
    <w:rsid w:val="004A680D"/>
    <w:rsid w:val="004B0F97"/>
    <w:rsid w:val="004B3220"/>
    <w:rsid w:val="004B4D6B"/>
    <w:rsid w:val="004B513F"/>
    <w:rsid w:val="004B53E3"/>
    <w:rsid w:val="004B6A11"/>
    <w:rsid w:val="004B7194"/>
    <w:rsid w:val="004B74EF"/>
    <w:rsid w:val="004C18CD"/>
    <w:rsid w:val="004C1E62"/>
    <w:rsid w:val="004C2B28"/>
    <w:rsid w:val="004C4624"/>
    <w:rsid w:val="004C5012"/>
    <w:rsid w:val="004C53EC"/>
    <w:rsid w:val="004C691E"/>
    <w:rsid w:val="004D10DF"/>
    <w:rsid w:val="004D176A"/>
    <w:rsid w:val="004D1817"/>
    <w:rsid w:val="004D1992"/>
    <w:rsid w:val="004D4C14"/>
    <w:rsid w:val="004D57AB"/>
    <w:rsid w:val="004E04BB"/>
    <w:rsid w:val="004E0665"/>
    <w:rsid w:val="004E1F78"/>
    <w:rsid w:val="004E230C"/>
    <w:rsid w:val="004E4092"/>
    <w:rsid w:val="004E654C"/>
    <w:rsid w:val="004E77FD"/>
    <w:rsid w:val="004E79E4"/>
    <w:rsid w:val="004E7A7A"/>
    <w:rsid w:val="004E7D8F"/>
    <w:rsid w:val="004F2DAD"/>
    <w:rsid w:val="004F44C6"/>
    <w:rsid w:val="004F67B6"/>
    <w:rsid w:val="004F7F4C"/>
    <w:rsid w:val="005001D6"/>
    <w:rsid w:val="0050089B"/>
    <w:rsid w:val="0050131B"/>
    <w:rsid w:val="005024AE"/>
    <w:rsid w:val="005036CE"/>
    <w:rsid w:val="00503E94"/>
    <w:rsid w:val="00504E59"/>
    <w:rsid w:val="0050532D"/>
    <w:rsid w:val="0050564D"/>
    <w:rsid w:val="00505D8B"/>
    <w:rsid w:val="00507350"/>
    <w:rsid w:val="0050773D"/>
    <w:rsid w:val="005130B1"/>
    <w:rsid w:val="00513E94"/>
    <w:rsid w:val="00513FCD"/>
    <w:rsid w:val="005163EE"/>
    <w:rsid w:val="00520FBC"/>
    <w:rsid w:val="00521C0B"/>
    <w:rsid w:val="00522531"/>
    <w:rsid w:val="0052317C"/>
    <w:rsid w:val="005235E2"/>
    <w:rsid w:val="005249A3"/>
    <w:rsid w:val="005258CA"/>
    <w:rsid w:val="00526071"/>
    <w:rsid w:val="0052623F"/>
    <w:rsid w:val="005270EA"/>
    <w:rsid w:val="005274D6"/>
    <w:rsid w:val="00527EF0"/>
    <w:rsid w:val="005308DC"/>
    <w:rsid w:val="00531F30"/>
    <w:rsid w:val="00532F10"/>
    <w:rsid w:val="00535414"/>
    <w:rsid w:val="00536967"/>
    <w:rsid w:val="00537041"/>
    <w:rsid w:val="00544F70"/>
    <w:rsid w:val="00546D28"/>
    <w:rsid w:val="0054752F"/>
    <w:rsid w:val="00547F1A"/>
    <w:rsid w:val="00552286"/>
    <w:rsid w:val="00554119"/>
    <w:rsid w:val="0055411B"/>
    <w:rsid w:val="005564E1"/>
    <w:rsid w:val="00557AC4"/>
    <w:rsid w:val="00557DF3"/>
    <w:rsid w:val="00561E6B"/>
    <w:rsid w:val="005622EC"/>
    <w:rsid w:val="00562669"/>
    <w:rsid w:val="0056589E"/>
    <w:rsid w:val="00566E48"/>
    <w:rsid w:val="00567BE2"/>
    <w:rsid w:val="00570027"/>
    <w:rsid w:val="00570837"/>
    <w:rsid w:val="00570A2A"/>
    <w:rsid w:val="005724BB"/>
    <w:rsid w:val="0057591C"/>
    <w:rsid w:val="005800AA"/>
    <w:rsid w:val="005815C3"/>
    <w:rsid w:val="005825DA"/>
    <w:rsid w:val="005829E5"/>
    <w:rsid w:val="00583AE5"/>
    <w:rsid w:val="00584415"/>
    <w:rsid w:val="0058507C"/>
    <w:rsid w:val="0058565F"/>
    <w:rsid w:val="00586168"/>
    <w:rsid w:val="00587AEA"/>
    <w:rsid w:val="00587CDC"/>
    <w:rsid w:val="0059272E"/>
    <w:rsid w:val="00593CC0"/>
    <w:rsid w:val="00596390"/>
    <w:rsid w:val="00596506"/>
    <w:rsid w:val="005A0F75"/>
    <w:rsid w:val="005A14F1"/>
    <w:rsid w:val="005A1A30"/>
    <w:rsid w:val="005A2EBC"/>
    <w:rsid w:val="005A2F90"/>
    <w:rsid w:val="005A3BDA"/>
    <w:rsid w:val="005A403A"/>
    <w:rsid w:val="005A4113"/>
    <w:rsid w:val="005A4FEE"/>
    <w:rsid w:val="005A56BD"/>
    <w:rsid w:val="005B77A2"/>
    <w:rsid w:val="005C0BD3"/>
    <w:rsid w:val="005C0D00"/>
    <w:rsid w:val="005C2ECD"/>
    <w:rsid w:val="005C4C90"/>
    <w:rsid w:val="005C5018"/>
    <w:rsid w:val="005C536D"/>
    <w:rsid w:val="005C5A4A"/>
    <w:rsid w:val="005C768A"/>
    <w:rsid w:val="005D0686"/>
    <w:rsid w:val="005D0F81"/>
    <w:rsid w:val="005D1BC6"/>
    <w:rsid w:val="005D1D67"/>
    <w:rsid w:val="005D1DB7"/>
    <w:rsid w:val="005D2E33"/>
    <w:rsid w:val="005D4ABD"/>
    <w:rsid w:val="005D6B0D"/>
    <w:rsid w:val="005E0DFC"/>
    <w:rsid w:val="005E112E"/>
    <w:rsid w:val="005E1BB8"/>
    <w:rsid w:val="005E3B14"/>
    <w:rsid w:val="005E4723"/>
    <w:rsid w:val="005E4DA9"/>
    <w:rsid w:val="005E4E8D"/>
    <w:rsid w:val="005F0812"/>
    <w:rsid w:val="005F59AC"/>
    <w:rsid w:val="00600784"/>
    <w:rsid w:val="006022A6"/>
    <w:rsid w:val="00606EE8"/>
    <w:rsid w:val="006073CB"/>
    <w:rsid w:val="006113F3"/>
    <w:rsid w:val="0061402E"/>
    <w:rsid w:val="00614B73"/>
    <w:rsid w:val="006155A5"/>
    <w:rsid w:val="00616C17"/>
    <w:rsid w:val="00617EE9"/>
    <w:rsid w:val="0062118B"/>
    <w:rsid w:val="006217A6"/>
    <w:rsid w:val="006227C8"/>
    <w:rsid w:val="00622DF0"/>
    <w:rsid w:val="006237B9"/>
    <w:rsid w:val="00623D40"/>
    <w:rsid w:val="00625ADA"/>
    <w:rsid w:val="00627736"/>
    <w:rsid w:val="00630A8E"/>
    <w:rsid w:val="00632DEE"/>
    <w:rsid w:val="0063301A"/>
    <w:rsid w:val="006347F9"/>
    <w:rsid w:val="00634A41"/>
    <w:rsid w:val="006353CA"/>
    <w:rsid w:val="00636BEA"/>
    <w:rsid w:val="00644149"/>
    <w:rsid w:val="00644FAA"/>
    <w:rsid w:val="00645D4C"/>
    <w:rsid w:val="00645EAC"/>
    <w:rsid w:val="00646744"/>
    <w:rsid w:val="0064691D"/>
    <w:rsid w:val="00646D22"/>
    <w:rsid w:val="0064761C"/>
    <w:rsid w:val="00651995"/>
    <w:rsid w:val="00651B8C"/>
    <w:rsid w:val="0065246A"/>
    <w:rsid w:val="006527F7"/>
    <w:rsid w:val="0065594F"/>
    <w:rsid w:val="00656AC6"/>
    <w:rsid w:val="00657740"/>
    <w:rsid w:val="00657B50"/>
    <w:rsid w:val="00664C2C"/>
    <w:rsid w:val="0066637C"/>
    <w:rsid w:val="0066637E"/>
    <w:rsid w:val="006664C0"/>
    <w:rsid w:val="00667190"/>
    <w:rsid w:val="00667C10"/>
    <w:rsid w:val="006713C9"/>
    <w:rsid w:val="00671946"/>
    <w:rsid w:val="00672891"/>
    <w:rsid w:val="00673B92"/>
    <w:rsid w:val="00677601"/>
    <w:rsid w:val="006845AD"/>
    <w:rsid w:val="00684F0C"/>
    <w:rsid w:val="00685268"/>
    <w:rsid w:val="006853F3"/>
    <w:rsid w:val="00692D89"/>
    <w:rsid w:val="006930B5"/>
    <w:rsid w:val="0069344C"/>
    <w:rsid w:val="006A0232"/>
    <w:rsid w:val="006A0C95"/>
    <w:rsid w:val="006A21A7"/>
    <w:rsid w:val="006A3836"/>
    <w:rsid w:val="006A47BB"/>
    <w:rsid w:val="006A669A"/>
    <w:rsid w:val="006A6B0F"/>
    <w:rsid w:val="006A6FA6"/>
    <w:rsid w:val="006A7599"/>
    <w:rsid w:val="006A785F"/>
    <w:rsid w:val="006B10DB"/>
    <w:rsid w:val="006B36FE"/>
    <w:rsid w:val="006B4368"/>
    <w:rsid w:val="006B6DDA"/>
    <w:rsid w:val="006B79AB"/>
    <w:rsid w:val="006C0A56"/>
    <w:rsid w:val="006C120A"/>
    <w:rsid w:val="006C446C"/>
    <w:rsid w:val="006C4720"/>
    <w:rsid w:val="006C527A"/>
    <w:rsid w:val="006C6BAB"/>
    <w:rsid w:val="006C6CDF"/>
    <w:rsid w:val="006C7224"/>
    <w:rsid w:val="006C7B80"/>
    <w:rsid w:val="006D1AFE"/>
    <w:rsid w:val="006D1D34"/>
    <w:rsid w:val="006D2F1B"/>
    <w:rsid w:val="006D5B4E"/>
    <w:rsid w:val="006D6A64"/>
    <w:rsid w:val="006D6CB2"/>
    <w:rsid w:val="006E327D"/>
    <w:rsid w:val="006E3991"/>
    <w:rsid w:val="006E405F"/>
    <w:rsid w:val="006E579D"/>
    <w:rsid w:val="006E5F9B"/>
    <w:rsid w:val="006E67A2"/>
    <w:rsid w:val="006E70FF"/>
    <w:rsid w:val="006E7EB0"/>
    <w:rsid w:val="006F0980"/>
    <w:rsid w:val="006F19A6"/>
    <w:rsid w:val="006F202B"/>
    <w:rsid w:val="006F2509"/>
    <w:rsid w:val="006F2B07"/>
    <w:rsid w:val="006F41BB"/>
    <w:rsid w:val="006F627E"/>
    <w:rsid w:val="006F6936"/>
    <w:rsid w:val="006F74D9"/>
    <w:rsid w:val="006F75BE"/>
    <w:rsid w:val="006F77BB"/>
    <w:rsid w:val="00700511"/>
    <w:rsid w:val="00701736"/>
    <w:rsid w:val="007026B7"/>
    <w:rsid w:val="00707FCA"/>
    <w:rsid w:val="00710B65"/>
    <w:rsid w:val="00710E29"/>
    <w:rsid w:val="00711F49"/>
    <w:rsid w:val="007166BB"/>
    <w:rsid w:val="00720BFD"/>
    <w:rsid w:val="0072108D"/>
    <w:rsid w:val="00723235"/>
    <w:rsid w:val="007238C5"/>
    <w:rsid w:val="0072432D"/>
    <w:rsid w:val="007256E4"/>
    <w:rsid w:val="00726608"/>
    <w:rsid w:val="007315F5"/>
    <w:rsid w:val="007340D2"/>
    <w:rsid w:val="00734EC7"/>
    <w:rsid w:val="00735C9E"/>
    <w:rsid w:val="00735F44"/>
    <w:rsid w:val="00737BC5"/>
    <w:rsid w:val="00737F8B"/>
    <w:rsid w:val="00740B4B"/>
    <w:rsid w:val="00741F3A"/>
    <w:rsid w:val="00742775"/>
    <w:rsid w:val="00745DAC"/>
    <w:rsid w:val="007461DB"/>
    <w:rsid w:val="007473F5"/>
    <w:rsid w:val="00747945"/>
    <w:rsid w:val="00747A68"/>
    <w:rsid w:val="00751C44"/>
    <w:rsid w:val="00752BC6"/>
    <w:rsid w:val="00754B9A"/>
    <w:rsid w:val="00754EFD"/>
    <w:rsid w:val="00756A76"/>
    <w:rsid w:val="0075799E"/>
    <w:rsid w:val="00757CC8"/>
    <w:rsid w:val="00762174"/>
    <w:rsid w:val="00762980"/>
    <w:rsid w:val="00763207"/>
    <w:rsid w:val="00763F86"/>
    <w:rsid w:val="00766878"/>
    <w:rsid w:val="00766F73"/>
    <w:rsid w:val="007672E6"/>
    <w:rsid w:val="00767B1E"/>
    <w:rsid w:val="00770A6A"/>
    <w:rsid w:val="007745F0"/>
    <w:rsid w:val="007753A9"/>
    <w:rsid w:val="00776224"/>
    <w:rsid w:val="00776951"/>
    <w:rsid w:val="00776C56"/>
    <w:rsid w:val="007770EF"/>
    <w:rsid w:val="0077738E"/>
    <w:rsid w:val="0078396A"/>
    <w:rsid w:val="00783CFB"/>
    <w:rsid w:val="00784578"/>
    <w:rsid w:val="00785FDD"/>
    <w:rsid w:val="00786F99"/>
    <w:rsid w:val="00790652"/>
    <w:rsid w:val="00791DB9"/>
    <w:rsid w:val="00791E47"/>
    <w:rsid w:val="00791FF0"/>
    <w:rsid w:val="00792865"/>
    <w:rsid w:val="007929B0"/>
    <w:rsid w:val="0079433C"/>
    <w:rsid w:val="00794990"/>
    <w:rsid w:val="007952F2"/>
    <w:rsid w:val="00796C84"/>
    <w:rsid w:val="0079736B"/>
    <w:rsid w:val="007A0214"/>
    <w:rsid w:val="007A0625"/>
    <w:rsid w:val="007A1148"/>
    <w:rsid w:val="007A175D"/>
    <w:rsid w:val="007A2742"/>
    <w:rsid w:val="007A4DE7"/>
    <w:rsid w:val="007A612C"/>
    <w:rsid w:val="007A73FA"/>
    <w:rsid w:val="007B0963"/>
    <w:rsid w:val="007B159E"/>
    <w:rsid w:val="007B5422"/>
    <w:rsid w:val="007B6B07"/>
    <w:rsid w:val="007B72DC"/>
    <w:rsid w:val="007C079B"/>
    <w:rsid w:val="007C1056"/>
    <w:rsid w:val="007C2B9F"/>
    <w:rsid w:val="007C2F9B"/>
    <w:rsid w:val="007C3160"/>
    <w:rsid w:val="007C3C78"/>
    <w:rsid w:val="007C4490"/>
    <w:rsid w:val="007C5073"/>
    <w:rsid w:val="007C585A"/>
    <w:rsid w:val="007C686E"/>
    <w:rsid w:val="007C7D06"/>
    <w:rsid w:val="007D1524"/>
    <w:rsid w:val="007D1B27"/>
    <w:rsid w:val="007D4AE2"/>
    <w:rsid w:val="007D67D4"/>
    <w:rsid w:val="007E00BB"/>
    <w:rsid w:val="007E0143"/>
    <w:rsid w:val="007E0736"/>
    <w:rsid w:val="007E0A86"/>
    <w:rsid w:val="007E1850"/>
    <w:rsid w:val="007E1893"/>
    <w:rsid w:val="007E370B"/>
    <w:rsid w:val="007E3F92"/>
    <w:rsid w:val="007E4799"/>
    <w:rsid w:val="007E5DD3"/>
    <w:rsid w:val="007E65F0"/>
    <w:rsid w:val="007F028C"/>
    <w:rsid w:val="007F0D58"/>
    <w:rsid w:val="007F10F1"/>
    <w:rsid w:val="007F1F6E"/>
    <w:rsid w:val="007F214E"/>
    <w:rsid w:val="007F37BF"/>
    <w:rsid w:val="007F3FE8"/>
    <w:rsid w:val="007F4759"/>
    <w:rsid w:val="008003A9"/>
    <w:rsid w:val="0080068E"/>
    <w:rsid w:val="008010F3"/>
    <w:rsid w:val="008011B0"/>
    <w:rsid w:val="00801650"/>
    <w:rsid w:val="00802111"/>
    <w:rsid w:val="00803187"/>
    <w:rsid w:val="00806663"/>
    <w:rsid w:val="008100E3"/>
    <w:rsid w:val="00810315"/>
    <w:rsid w:val="00810C16"/>
    <w:rsid w:val="00813601"/>
    <w:rsid w:val="00816F1C"/>
    <w:rsid w:val="008174DF"/>
    <w:rsid w:val="00821012"/>
    <w:rsid w:val="00822B32"/>
    <w:rsid w:val="00823E8C"/>
    <w:rsid w:val="0082484F"/>
    <w:rsid w:val="008251FF"/>
    <w:rsid w:val="008254F7"/>
    <w:rsid w:val="008255C1"/>
    <w:rsid w:val="00825971"/>
    <w:rsid w:val="00826D75"/>
    <w:rsid w:val="00830F6E"/>
    <w:rsid w:val="00832634"/>
    <w:rsid w:val="00832DCC"/>
    <w:rsid w:val="00833E95"/>
    <w:rsid w:val="00836173"/>
    <w:rsid w:val="00836905"/>
    <w:rsid w:val="00840432"/>
    <w:rsid w:val="008404A5"/>
    <w:rsid w:val="00842057"/>
    <w:rsid w:val="00842C24"/>
    <w:rsid w:val="00843B01"/>
    <w:rsid w:val="00844098"/>
    <w:rsid w:val="00847139"/>
    <w:rsid w:val="0084774F"/>
    <w:rsid w:val="00847AA2"/>
    <w:rsid w:val="00847C0C"/>
    <w:rsid w:val="00847DE3"/>
    <w:rsid w:val="008510E6"/>
    <w:rsid w:val="008537DA"/>
    <w:rsid w:val="00855E22"/>
    <w:rsid w:val="00857317"/>
    <w:rsid w:val="00861DDA"/>
    <w:rsid w:val="008627F8"/>
    <w:rsid w:val="00862CCB"/>
    <w:rsid w:val="00863942"/>
    <w:rsid w:val="008653A3"/>
    <w:rsid w:val="00865907"/>
    <w:rsid w:val="00866AB1"/>
    <w:rsid w:val="0087022B"/>
    <w:rsid w:val="008734C6"/>
    <w:rsid w:val="008736B1"/>
    <w:rsid w:val="00876122"/>
    <w:rsid w:val="00877D68"/>
    <w:rsid w:val="00877E8E"/>
    <w:rsid w:val="00880F8F"/>
    <w:rsid w:val="008812C7"/>
    <w:rsid w:val="008832D9"/>
    <w:rsid w:val="00883977"/>
    <w:rsid w:val="0088513C"/>
    <w:rsid w:val="00885438"/>
    <w:rsid w:val="00890751"/>
    <w:rsid w:val="00890D5B"/>
    <w:rsid w:val="0089253A"/>
    <w:rsid w:val="00892CA0"/>
    <w:rsid w:val="00893045"/>
    <w:rsid w:val="00893649"/>
    <w:rsid w:val="00893C05"/>
    <w:rsid w:val="00893F19"/>
    <w:rsid w:val="00895C7B"/>
    <w:rsid w:val="008966C1"/>
    <w:rsid w:val="008A2199"/>
    <w:rsid w:val="008A521D"/>
    <w:rsid w:val="008A670D"/>
    <w:rsid w:val="008A705D"/>
    <w:rsid w:val="008B0405"/>
    <w:rsid w:val="008B0A0B"/>
    <w:rsid w:val="008B0F40"/>
    <w:rsid w:val="008B1841"/>
    <w:rsid w:val="008B2BD2"/>
    <w:rsid w:val="008B4B71"/>
    <w:rsid w:val="008B6121"/>
    <w:rsid w:val="008B62B4"/>
    <w:rsid w:val="008B6CE8"/>
    <w:rsid w:val="008B7443"/>
    <w:rsid w:val="008B7D19"/>
    <w:rsid w:val="008C014F"/>
    <w:rsid w:val="008C4431"/>
    <w:rsid w:val="008C514A"/>
    <w:rsid w:val="008C595D"/>
    <w:rsid w:val="008D279F"/>
    <w:rsid w:val="008D6379"/>
    <w:rsid w:val="008E02BA"/>
    <w:rsid w:val="008E0645"/>
    <w:rsid w:val="008E0B5E"/>
    <w:rsid w:val="008E1ABF"/>
    <w:rsid w:val="008E201B"/>
    <w:rsid w:val="008E38CE"/>
    <w:rsid w:val="008E5168"/>
    <w:rsid w:val="008E51BE"/>
    <w:rsid w:val="008E5299"/>
    <w:rsid w:val="008E586B"/>
    <w:rsid w:val="008E6B7A"/>
    <w:rsid w:val="008E7D03"/>
    <w:rsid w:val="008F0403"/>
    <w:rsid w:val="008F0C12"/>
    <w:rsid w:val="008F0F7E"/>
    <w:rsid w:val="008F20C9"/>
    <w:rsid w:val="008F41B4"/>
    <w:rsid w:val="008F50D8"/>
    <w:rsid w:val="008F5527"/>
    <w:rsid w:val="008F6D14"/>
    <w:rsid w:val="008F7A15"/>
    <w:rsid w:val="00901052"/>
    <w:rsid w:val="00902333"/>
    <w:rsid w:val="00902A48"/>
    <w:rsid w:val="0090406D"/>
    <w:rsid w:val="009056CE"/>
    <w:rsid w:val="00907174"/>
    <w:rsid w:val="009072AE"/>
    <w:rsid w:val="00912523"/>
    <w:rsid w:val="0091374B"/>
    <w:rsid w:val="0091695C"/>
    <w:rsid w:val="00922102"/>
    <w:rsid w:val="00923C24"/>
    <w:rsid w:val="00924C75"/>
    <w:rsid w:val="009265D6"/>
    <w:rsid w:val="0093016A"/>
    <w:rsid w:val="0093210D"/>
    <w:rsid w:val="00933FD7"/>
    <w:rsid w:val="00934233"/>
    <w:rsid w:val="0093545C"/>
    <w:rsid w:val="00936D65"/>
    <w:rsid w:val="009371FE"/>
    <w:rsid w:val="009405B1"/>
    <w:rsid w:val="0094244E"/>
    <w:rsid w:val="00942511"/>
    <w:rsid w:val="00943094"/>
    <w:rsid w:val="00943124"/>
    <w:rsid w:val="0094360A"/>
    <w:rsid w:val="009446EA"/>
    <w:rsid w:val="00947A76"/>
    <w:rsid w:val="00950A41"/>
    <w:rsid w:val="00950CCD"/>
    <w:rsid w:val="009512E3"/>
    <w:rsid w:val="009528D6"/>
    <w:rsid w:val="00952E3C"/>
    <w:rsid w:val="00955EBD"/>
    <w:rsid w:val="009563C6"/>
    <w:rsid w:val="00956F9F"/>
    <w:rsid w:val="00957713"/>
    <w:rsid w:val="00957B9D"/>
    <w:rsid w:val="009607CA"/>
    <w:rsid w:val="009617AF"/>
    <w:rsid w:val="00961CA4"/>
    <w:rsid w:val="00962104"/>
    <w:rsid w:val="00962EE4"/>
    <w:rsid w:val="00963A14"/>
    <w:rsid w:val="009643A3"/>
    <w:rsid w:val="009648F5"/>
    <w:rsid w:val="00967E21"/>
    <w:rsid w:val="009700AD"/>
    <w:rsid w:val="00970637"/>
    <w:rsid w:val="009728C3"/>
    <w:rsid w:val="009733D2"/>
    <w:rsid w:val="00974C9E"/>
    <w:rsid w:val="00976460"/>
    <w:rsid w:val="009766A5"/>
    <w:rsid w:val="00976A78"/>
    <w:rsid w:val="00977920"/>
    <w:rsid w:val="00977BB6"/>
    <w:rsid w:val="00977C4A"/>
    <w:rsid w:val="009821A1"/>
    <w:rsid w:val="00982D4C"/>
    <w:rsid w:val="009866E9"/>
    <w:rsid w:val="009869B0"/>
    <w:rsid w:val="009924D5"/>
    <w:rsid w:val="009934CA"/>
    <w:rsid w:val="0099468F"/>
    <w:rsid w:val="00995A18"/>
    <w:rsid w:val="00995DC0"/>
    <w:rsid w:val="009976B4"/>
    <w:rsid w:val="00997BE7"/>
    <w:rsid w:val="009A29A0"/>
    <w:rsid w:val="009A3237"/>
    <w:rsid w:val="009A5BA1"/>
    <w:rsid w:val="009A7701"/>
    <w:rsid w:val="009A77AD"/>
    <w:rsid w:val="009B0A21"/>
    <w:rsid w:val="009B1497"/>
    <w:rsid w:val="009B31EC"/>
    <w:rsid w:val="009B5578"/>
    <w:rsid w:val="009B56D2"/>
    <w:rsid w:val="009B5955"/>
    <w:rsid w:val="009B703F"/>
    <w:rsid w:val="009C018B"/>
    <w:rsid w:val="009C3D94"/>
    <w:rsid w:val="009D1580"/>
    <w:rsid w:val="009D2191"/>
    <w:rsid w:val="009D26C3"/>
    <w:rsid w:val="009D2848"/>
    <w:rsid w:val="009D429A"/>
    <w:rsid w:val="009D5B1C"/>
    <w:rsid w:val="009E155B"/>
    <w:rsid w:val="009E15CC"/>
    <w:rsid w:val="009E1693"/>
    <w:rsid w:val="009E1C9C"/>
    <w:rsid w:val="009E23ED"/>
    <w:rsid w:val="009E5061"/>
    <w:rsid w:val="009E5FAD"/>
    <w:rsid w:val="009E682C"/>
    <w:rsid w:val="009E730B"/>
    <w:rsid w:val="009F1808"/>
    <w:rsid w:val="009F2386"/>
    <w:rsid w:val="009F2A87"/>
    <w:rsid w:val="009F3676"/>
    <w:rsid w:val="009F42D6"/>
    <w:rsid w:val="009F4FCE"/>
    <w:rsid w:val="009F6CC6"/>
    <w:rsid w:val="009F736C"/>
    <w:rsid w:val="00A039E2"/>
    <w:rsid w:val="00A051A7"/>
    <w:rsid w:val="00A0658D"/>
    <w:rsid w:val="00A068AA"/>
    <w:rsid w:val="00A07499"/>
    <w:rsid w:val="00A0756D"/>
    <w:rsid w:val="00A13122"/>
    <w:rsid w:val="00A13444"/>
    <w:rsid w:val="00A1411B"/>
    <w:rsid w:val="00A1580B"/>
    <w:rsid w:val="00A201A3"/>
    <w:rsid w:val="00A24D06"/>
    <w:rsid w:val="00A25012"/>
    <w:rsid w:val="00A26024"/>
    <w:rsid w:val="00A261E1"/>
    <w:rsid w:val="00A27857"/>
    <w:rsid w:val="00A30A34"/>
    <w:rsid w:val="00A30F7C"/>
    <w:rsid w:val="00A31095"/>
    <w:rsid w:val="00A32A30"/>
    <w:rsid w:val="00A33D7B"/>
    <w:rsid w:val="00A35883"/>
    <w:rsid w:val="00A35FED"/>
    <w:rsid w:val="00A37AA5"/>
    <w:rsid w:val="00A37B85"/>
    <w:rsid w:val="00A40407"/>
    <w:rsid w:val="00A440BC"/>
    <w:rsid w:val="00A47E36"/>
    <w:rsid w:val="00A5047F"/>
    <w:rsid w:val="00A51EBC"/>
    <w:rsid w:val="00A523DD"/>
    <w:rsid w:val="00A52DED"/>
    <w:rsid w:val="00A53891"/>
    <w:rsid w:val="00A538E0"/>
    <w:rsid w:val="00A55829"/>
    <w:rsid w:val="00A56A10"/>
    <w:rsid w:val="00A577A8"/>
    <w:rsid w:val="00A60168"/>
    <w:rsid w:val="00A61592"/>
    <w:rsid w:val="00A651DB"/>
    <w:rsid w:val="00A6627F"/>
    <w:rsid w:val="00A66317"/>
    <w:rsid w:val="00A66821"/>
    <w:rsid w:val="00A710BF"/>
    <w:rsid w:val="00A72F75"/>
    <w:rsid w:val="00A74633"/>
    <w:rsid w:val="00A7502B"/>
    <w:rsid w:val="00A759BD"/>
    <w:rsid w:val="00A75E8A"/>
    <w:rsid w:val="00A762EA"/>
    <w:rsid w:val="00A817E5"/>
    <w:rsid w:val="00A82BFD"/>
    <w:rsid w:val="00A83A7E"/>
    <w:rsid w:val="00A8432B"/>
    <w:rsid w:val="00A84D9F"/>
    <w:rsid w:val="00A85E2F"/>
    <w:rsid w:val="00A86189"/>
    <w:rsid w:val="00A865CD"/>
    <w:rsid w:val="00A869AE"/>
    <w:rsid w:val="00A914E5"/>
    <w:rsid w:val="00A91A74"/>
    <w:rsid w:val="00A91E73"/>
    <w:rsid w:val="00A93BA3"/>
    <w:rsid w:val="00AA2B5C"/>
    <w:rsid w:val="00AA2E25"/>
    <w:rsid w:val="00AA4134"/>
    <w:rsid w:val="00AA7DAF"/>
    <w:rsid w:val="00AA7FDA"/>
    <w:rsid w:val="00AB1D60"/>
    <w:rsid w:val="00AB2AE6"/>
    <w:rsid w:val="00AC12D9"/>
    <w:rsid w:val="00AC1D9A"/>
    <w:rsid w:val="00AC2A05"/>
    <w:rsid w:val="00AC3AB1"/>
    <w:rsid w:val="00AC5681"/>
    <w:rsid w:val="00AC67DD"/>
    <w:rsid w:val="00AC6FE0"/>
    <w:rsid w:val="00AC7582"/>
    <w:rsid w:val="00AC7A1B"/>
    <w:rsid w:val="00AD0040"/>
    <w:rsid w:val="00AD0C98"/>
    <w:rsid w:val="00AD1FA7"/>
    <w:rsid w:val="00AD5791"/>
    <w:rsid w:val="00AD6540"/>
    <w:rsid w:val="00AD721E"/>
    <w:rsid w:val="00AD7B31"/>
    <w:rsid w:val="00AE011C"/>
    <w:rsid w:val="00AE08CD"/>
    <w:rsid w:val="00AE09A5"/>
    <w:rsid w:val="00AE1F69"/>
    <w:rsid w:val="00AE5B65"/>
    <w:rsid w:val="00AE5D45"/>
    <w:rsid w:val="00AE7DC7"/>
    <w:rsid w:val="00AF0DE4"/>
    <w:rsid w:val="00AF2669"/>
    <w:rsid w:val="00AF28EA"/>
    <w:rsid w:val="00AF344E"/>
    <w:rsid w:val="00AF3AF6"/>
    <w:rsid w:val="00AF4D99"/>
    <w:rsid w:val="00AF4F31"/>
    <w:rsid w:val="00AF5E83"/>
    <w:rsid w:val="00B0155C"/>
    <w:rsid w:val="00B01B74"/>
    <w:rsid w:val="00B01DEC"/>
    <w:rsid w:val="00B01EC6"/>
    <w:rsid w:val="00B0633D"/>
    <w:rsid w:val="00B07082"/>
    <w:rsid w:val="00B10264"/>
    <w:rsid w:val="00B119EE"/>
    <w:rsid w:val="00B15A1A"/>
    <w:rsid w:val="00B169C7"/>
    <w:rsid w:val="00B177F0"/>
    <w:rsid w:val="00B22E34"/>
    <w:rsid w:val="00B25C6D"/>
    <w:rsid w:val="00B30FC9"/>
    <w:rsid w:val="00B31B31"/>
    <w:rsid w:val="00B33988"/>
    <w:rsid w:val="00B339D4"/>
    <w:rsid w:val="00B33AC5"/>
    <w:rsid w:val="00B347CA"/>
    <w:rsid w:val="00B35306"/>
    <w:rsid w:val="00B36064"/>
    <w:rsid w:val="00B41595"/>
    <w:rsid w:val="00B418B8"/>
    <w:rsid w:val="00B42137"/>
    <w:rsid w:val="00B43114"/>
    <w:rsid w:val="00B43A92"/>
    <w:rsid w:val="00B43A9E"/>
    <w:rsid w:val="00B45E6A"/>
    <w:rsid w:val="00B46D8F"/>
    <w:rsid w:val="00B4713D"/>
    <w:rsid w:val="00B47DA2"/>
    <w:rsid w:val="00B518B5"/>
    <w:rsid w:val="00B518C2"/>
    <w:rsid w:val="00B52179"/>
    <w:rsid w:val="00B53535"/>
    <w:rsid w:val="00B5382A"/>
    <w:rsid w:val="00B53E2C"/>
    <w:rsid w:val="00B54014"/>
    <w:rsid w:val="00B54D62"/>
    <w:rsid w:val="00B55460"/>
    <w:rsid w:val="00B574E7"/>
    <w:rsid w:val="00B6088D"/>
    <w:rsid w:val="00B614CC"/>
    <w:rsid w:val="00B631CF"/>
    <w:rsid w:val="00B649E5"/>
    <w:rsid w:val="00B64B9A"/>
    <w:rsid w:val="00B652BE"/>
    <w:rsid w:val="00B656E0"/>
    <w:rsid w:val="00B67071"/>
    <w:rsid w:val="00B71D1A"/>
    <w:rsid w:val="00B73A22"/>
    <w:rsid w:val="00B761B1"/>
    <w:rsid w:val="00B761FD"/>
    <w:rsid w:val="00B76E27"/>
    <w:rsid w:val="00B82C8C"/>
    <w:rsid w:val="00B830DB"/>
    <w:rsid w:val="00B85366"/>
    <w:rsid w:val="00B85B75"/>
    <w:rsid w:val="00B866BE"/>
    <w:rsid w:val="00B8736C"/>
    <w:rsid w:val="00B873DD"/>
    <w:rsid w:val="00B93975"/>
    <w:rsid w:val="00B946FD"/>
    <w:rsid w:val="00B95420"/>
    <w:rsid w:val="00B978FA"/>
    <w:rsid w:val="00B97ECB"/>
    <w:rsid w:val="00BA1122"/>
    <w:rsid w:val="00BA282A"/>
    <w:rsid w:val="00BA427A"/>
    <w:rsid w:val="00BA487F"/>
    <w:rsid w:val="00BA56C8"/>
    <w:rsid w:val="00BB0FCE"/>
    <w:rsid w:val="00BB12F1"/>
    <w:rsid w:val="00BB1E49"/>
    <w:rsid w:val="00BB21D1"/>
    <w:rsid w:val="00BC0EBA"/>
    <w:rsid w:val="00BC1BEB"/>
    <w:rsid w:val="00BC2398"/>
    <w:rsid w:val="00BC3164"/>
    <w:rsid w:val="00BC3918"/>
    <w:rsid w:val="00BC61B5"/>
    <w:rsid w:val="00BC690D"/>
    <w:rsid w:val="00BC7296"/>
    <w:rsid w:val="00BD026B"/>
    <w:rsid w:val="00BD0667"/>
    <w:rsid w:val="00BD24E0"/>
    <w:rsid w:val="00BD2686"/>
    <w:rsid w:val="00BD3BAF"/>
    <w:rsid w:val="00BD59FD"/>
    <w:rsid w:val="00BE125F"/>
    <w:rsid w:val="00BE3076"/>
    <w:rsid w:val="00BE4944"/>
    <w:rsid w:val="00BE5982"/>
    <w:rsid w:val="00BE62C6"/>
    <w:rsid w:val="00BE77CD"/>
    <w:rsid w:val="00BF0B28"/>
    <w:rsid w:val="00BF12D3"/>
    <w:rsid w:val="00BF25F5"/>
    <w:rsid w:val="00BF4366"/>
    <w:rsid w:val="00BF51DC"/>
    <w:rsid w:val="00BF7AA5"/>
    <w:rsid w:val="00C004B5"/>
    <w:rsid w:val="00C01639"/>
    <w:rsid w:val="00C03063"/>
    <w:rsid w:val="00C03F50"/>
    <w:rsid w:val="00C04829"/>
    <w:rsid w:val="00C065EB"/>
    <w:rsid w:val="00C06C93"/>
    <w:rsid w:val="00C12015"/>
    <w:rsid w:val="00C123EB"/>
    <w:rsid w:val="00C12CE6"/>
    <w:rsid w:val="00C13CAC"/>
    <w:rsid w:val="00C14F81"/>
    <w:rsid w:val="00C15C03"/>
    <w:rsid w:val="00C16469"/>
    <w:rsid w:val="00C17215"/>
    <w:rsid w:val="00C173E4"/>
    <w:rsid w:val="00C1769B"/>
    <w:rsid w:val="00C17EC6"/>
    <w:rsid w:val="00C201E7"/>
    <w:rsid w:val="00C20E0F"/>
    <w:rsid w:val="00C210BF"/>
    <w:rsid w:val="00C240F5"/>
    <w:rsid w:val="00C2454D"/>
    <w:rsid w:val="00C25D4F"/>
    <w:rsid w:val="00C30673"/>
    <w:rsid w:val="00C307D8"/>
    <w:rsid w:val="00C31DEC"/>
    <w:rsid w:val="00C32CCC"/>
    <w:rsid w:val="00C33A75"/>
    <w:rsid w:val="00C34AB5"/>
    <w:rsid w:val="00C35CCB"/>
    <w:rsid w:val="00C36DB5"/>
    <w:rsid w:val="00C40EA5"/>
    <w:rsid w:val="00C430D7"/>
    <w:rsid w:val="00C44274"/>
    <w:rsid w:val="00C527A0"/>
    <w:rsid w:val="00C531D9"/>
    <w:rsid w:val="00C54153"/>
    <w:rsid w:val="00C54BF9"/>
    <w:rsid w:val="00C57234"/>
    <w:rsid w:val="00C61C7C"/>
    <w:rsid w:val="00C62BC4"/>
    <w:rsid w:val="00C64390"/>
    <w:rsid w:val="00C675BE"/>
    <w:rsid w:val="00C67C00"/>
    <w:rsid w:val="00C67F5B"/>
    <w:rsid w:val="00C702D4"/>
    <w:rsid w:val="00C70472"/>
    <w:rsid w:val="00C727C6"/>
    <w:rsid w:val="00C72853"/>
    <w:rsid w:val="00C73B43"/>
    <w:rsid w:val="00C755E6"/>
    <w:rsid w:val="00C75C7F"/>
    <w:rsid w:val="00C77505"/>
    <w:rsid w:val="00C80205"/>
    <w:rsid w:val="00C80256"/>
    <w:rsid w:val="00C8044F"/>
    <w:rsid w:val="00C80C5C"/>
    <w:rsid w:val="00C81453"/>
    <w:rsid w:val="00C81550"/>
    <w:rsid w:val="00C81E0B"/>
    <w:rsid w:val="00C827CA"/>
    <w:rsid w:val="00C85017"/>
    <w:rsid w:val="00C8727E"/>
    <w:rsid w:val="00C90FC1"/>
    <w:rsid w:val="00C9101D"/>
    <w:rsid w:val="00C91B84"/>
    <w:rsid w:val="00C91FE1"/>
    <w:rsid w:val="00C93C94"/>
    <w:rsid w:val="00C941EC"/>
    <w:rsid w:val="00C94745"/>
    <w:rsid w:val="00C94A70"/>
    <w:rsid w:val="00C95137"/>
    <w:rsid w:val="00C96094"/>
    <w:rsid w:val="00CA10EC"/>
    <w:rsid w:val="00CA1283"/>
    <w:rsid w:val="00CA1355"/>
    <w:rsid w:val="00CA223A"/>
    <w:rsid w:val="00CA366A"/>
    <w:rsid w:val="00CA38AB"/>
    <w:rsid w:val="00CA3B7F"/>
    <w:rsid w:val="00CA659A"/>
    <w:rsid w:val="00CA794C"/>
    <w:rsid w:val="00CB20DF"/>
    <w:rsid w:val="00CB2274"/>
    <w:rsid w:val="00CB37A3"/>
    <w:rsid w:val="00CB3B59"/>
    <w:rsid w:val="00CB40B4"/>
    <w:rsid w:val="00CB46F5"/>
    <w:rsid w:val="00CB490B"/>
    <w:rsid w:val="00CB6E0F"/>
    <w:rsid w:val="00CC0E14"/>
    <w:rsid w:val="00CC2794"/>
    <w:rsid w:val="00CC4A34"/>
    <w:rsid w:val="00CC59EC"/>
    <w:rsid w:val="00CD0FE2"/>
    <w:rsid w:val="00CD17DA"/>
    <w:rsid w:val="00CD49DC"/>
    <w:rsid w:val="00CD6F88"/>
    <w:rsid w:val="00CE0007"/>
    <w:rsid w:val="00CE0BD4"/>
    <w:rsid w:val="00CE0F63"/>
    <w:rsid w:val="00CE16F7"/>
    <w:rsid w:val="00CE1E9D"/>
    <w:rsid w:val="00CE68FE"/>
    <w:rsid w:val="00CE7283"/>
    <w:rsid w:val="00CF0401"/>
    <w:rsid w:val="00CF0489"/>
    <w:rsid w:val="00CF1FF4"/>
    <w:rsid w:val="00CF21D0"/>
    <w:rsid w:val="00CF2FA4"/>
    <w:rsid w:val="00CF6013"/>
    <w:rsid w:val="00CF70BD"/>
    <w:rsid w:val="00CF743D"/>
    <w:rsid w:val="00D02448"/>
    <w:rsid w:val="00D04B2E"/>
    <w:rsid w:val="00D078B0"/>
    <w:rsid w:val="00D10F93"/>
    <w:rsid w:val="00D12EC9"/>
    <w:rsid w:val="00D13577"/>
    <w:rsid w:val="00D13E8A"/>
    <w:rsid w:val="00D168ED"/>
    <w:rsid w:val="00D228DF"/>
    <w:rsid w:val="00D22EE4"/>
    <w:rsid w:val="00D230E2"/>
    <w:rsid w:val="00D240F4"/>
    <w:rsid w:val="00D2534E"/>
    <w:rsid w:val="00D26768"/>
    <w:rsid w:val="00D27894"/>
    <w:rsid w:val="00D27C16"/>
    <w:rsid w:val="00D27ED7"/>
    <w:rsid w:val="00D301A4"/>
    <w:rsid w:val="00D3230E"/>
    <w:rsid w:val="00D33025"/>
    <w:rsid w:val="00D339A3"/>
    <w:rsid w:val="00D36C59"/>
    <w:rsid w:val="00D41F63"/>
    <w:rsid w:val="00D43390"/>
    <w:rsid w:val="00D43CC4"/>
    <w:rsid w:val="00D46258"/>
    <w:rsid w:val="00D46708"/>
    <w:rsid w:val="00D53641"/>
    <w:rsid w:val="00D54C3F"/>
    <w:rsid w:val="00D5528E"/>
    <w:rsid w:val="00D56203"/>
    <w:rsid w:val="00D56726"/>
    <w:rsid w:val="00D61688"/>
    <w:rsid w:val="00D61FE3"/>
    <w:rsid w:val="00D62247"/>
    <w:rsid w:val="00D62257"/>
    <w:rsid w:val="00D62EC8"/>
    <w:rsid w:val="00D63698"/>
    <w:rsid w:val="00D64458"/>
    <w:rsid w:val="00D65247"/>
    <w:rsid w:val="00D65354"/>
    <w:rsid w:val="00D66787"/>
    <w:rsid w:val="00D67B79"/>
    <w:rsid w:val="00D72AB0"/>
    <w:rsid w:val="00D738E9"/>
    <w:rsid w:val="00D75802"/>
    <w:rsid w:val="00D77189"/>
    <w:rsid w:val="00D77C0A"/>
    <w:rsid w:val="00D810E0"/>
    <w:rsid w:val="00D868C7"/>
    <w:rsid w:val="00D86FAF"/>
    <w:rsid w:val="00D90623"/>
    <w:rsid w:val="00D91CAB"/>
    <w:rsid w:val="00D9724D"/>
    <w:rsid w:val="00DA3B7C"/>
    <w:rsid w:val="00DA4A8C"/>
    <w:rsid w:val="00DA5726"/>
    <w:rsid w:val="00DA7E13"/>
    <w:rsid w:val="00DB0FAB"/>
    <w:rsid w:val="00DB7BB3"/>
    <w:rsid w:val="00DC04CB"/>
    <w:rsid w:val="00DC2839"/>
    <w:rsid w:val="00DC29A9"/>
    <w:rsid w:val="00DC4E83"/>
    <w:rsid w:val="00DD00B0"/>
    <w:rsid w:val="00DD2547"/>
    <w:rsid w:val="00DD3C64"/>
    <w:rsid w:val="00DD5450"/>
    <w:rsid w:val="00DD7DBE"/>
    <w:rsid w:val="00DE0153"/>
    <w:rsid w:val="00DE1A7E"/>
    <w:rsid w:val="00DE2371"/>
    <w:rsid w:val="00DE2B35"/>
    <w:rsid w:val="00DE2E35"/>
    <w:rsid w:val="00DE34E4"/>
    <w:rsid w:val="00DE7283"/>
    <w:rsid w:val="00DE775A"/>
    <w:rsid w:val="00DF20ED"/>
    <w:rsid w:val="00DF20F6"/>
    <w:rsid w:val="00DF2C7E"/>
    <w:rsid w:val="00DF661A"/>
    <w:rsid w:val="00E00D7B"/>
    <w:rsid w:val="00E02CB4"/>
    <w:rsid w:val="00E0391F"/>
    <w:rsid w:val="00E04936"/>
    <w:rsid w:val="00E054E4"/>
    <w:rsid w:val="00E109AC"/>
    <w:rsid w:val="00E11A14"/>
    <w:rsid w:val="00E122FC"/>
    <w:rsid w:val="00E1480F"/>
    <w:rsid w:val="00E14E07"/>
    <w:rsid w:val="00E17AC4"/>
    <w:rsid w:val="00E17B25"/>
    <w:rsid w:val="00E23FC6"/>
    <w:rsid w:val="00E320A6"/>
    <w:rsid w:val="00E3240D"/>
    <w:rsid w:val="00E33A4D"/>
    <w:rsid w:val="00E35A17"/>
    <w:rsid w:val="00E35F11"/>
    <w:rsid w:val="00E36283"/>
    <w:rsid w:val="00E36C8F"/>
    <w:rsid w:val="00E36DA7"/>
    <w:rsid w:val="00E37F58"/>
    <w:rsid w:val="00E40CD9"/>
    <w:rsid w:val="00E414B1"/>
    <w:rsid w:val="00E45E94"/>
    <w:rsid w:val="00E464D3"/>
    <w:rsid w:val="00E46BBF"/>
    <w:rsid w:val="00E47026"/>
    <w:rsid w:val="00E50DC7"/>
    <w:rsid w:val="00E51D7A"/>
    <w:rsid w:val="00E52FD7"/>
    <w:rsid w:val="00E54EE8"/>
    <w:rsid w:val="00E56FC1"/>
    <w:rsid w:val="00E60C3A"/>
    <w:rsid w:val="00E6258B"/>
    <w:rsid w:val="00E6397F"/>
    <w:rsid w:val="00E6464F"/>
    <w:rsid w:val="00E64F8B"/>
    <w:rsid w:val="00E662B8"/>
    <w:rsid w:val="00E66A9D"/>
    <w:rsid w:val="00E673C5"/>
    <w:rsid w:val="00E67987"/>
    <w:rsid w:val="00E72333"/>
    <w:rsid w:val="00E73117"/>
    <w:rsid w:val="00E73769"/>
    <w:rsid w:val="00E76A3E"/>
    <w:rsid w:val="00E77097"/>
    <w:rsid w:val="00E806DB"/>
    <w:rsid w:val="00E810EF"/>
    <w:rsid w:val="00E8158E"/>
    <w:rsid w:val="00E8177C"/>
    <w:rsid w:val="00E829A8"/>
    <w:rsid w:val="00E83D93"/>
    <w:rsid w:val="00E8550E"/>
    <w:rsid w:val="00E85A1D"/>
    <w:rsid w:val="00E869BD"/>
    <w:rsid w:val="00E873BC"/>
    <w:rsid w:val="00E873E5"/>
    <w:rsid w:val="00E87456"/>
    <w:rsid w:val="00E90423"/>
    <w:rsid w:val="00E91283"/>
    <w:rsid w:val="00E9234D"/>
    <w:rsid w:val="00E92827"/>
    <w:rsid w:val="00E93A24"/>
    <w:rsid w:val="00EA1D7C"/>
    <w:rsid w:val="00EA4475"/>
    <w:rsid w:val="00EA5540"/>
    <w:rsid w:val="00EB52C0"/>
    <w:rsid w:val="00EB6362"/>
    <w:rsid w:val="00EB6364"/>
    <w:rsid w:val="00EB66E0"/>
    <w:rsid w:val="00EC11ED"/>
    <w:rsid w:val="00EC144D"/>
    <w:rsid w:val="00EC35E1"/>
    <w:rsid w:val="00EC4178"/>
    <w:rsid w:val="00EC44E5"/>
    <w:rsid w:val="00EC5B2F"/>
    <w:rsid w:val="00EC6CC0"/>
    <w:rsid w:val="00ED0B43"/>
    <w:rsid w:val="00ED223D"/>
    <w:rsid w:val="00ED3144"/>
    <w:rsid w:val="00ED5E4B"/>
    <w:rsid w:val="00ED647C"/>
    <w:rsid w:val="00EE1472"/>
    <w:rsid w:val="00EE26E8"/>
    <w:rsid w:val="00EE4720"/>
    <w:rsid w:val="00EE4DB6"/>
    <w:rsid w:val="00EE4FBF"/>
    <w:rsid w:val="00EE6E5F"/>
    <w:rsid w:val="00EF015F"/>
    <w:rsid w:val="00EF1D9D"/>
    <w:rsid w:val="00EF41F6"/>
    <w:rsid w:val="00EF462B"/>
    <w:rsid w:val="00EF63C6"/>
    <w:rsid w:val="00EF6557"/>
    <w:rsid w:val="00F02A90"/>
    <w:rsid w:val="00F02CF2"/>
    <w:rsid w:val="00F0342E"/>
    <w:rsid w:val="00F03ABB"/>
    <w:rsid w:val="00F07F3F"/>
    <w:rsid w:val="00F11544"/>
    <w:rsid w:val="00F11E3F"/>
    <w:rsid w:val="00F1455D"/>
    <w:rsid w:val="00F17564"/>
    <w:rsid w:val="00F20A55"/>
    <w:rsid w:val="00F20FBE"/>
    <w:rsid w:val="00F2383C"/>
    <w:rsid w:val="00F23C6E"/>
    <w:rsid w:val="00F24CFA"/>
    <w:rsid w:val="00F274AA"/>
    <w:rsid w:val="00F27FAD"/>
    <w:rsid w:val="00F302CD"/>
    <w:rsid w:val="00F325D0"/>
    <w:rsid w:val="00F3382D"/>
    <w:rsid w:val="00F33E34"/>
    <w:rsid w:val="00F34FE5"/>
    <w:rsid w:val="00F35A38"/>
    <w:rsid w:val="00F364F7"/>
    <w:rsid w:val="00F37784"/>
    <w:rsid w:val="00F4194F"/>
    <w:rsid w:val="00F41CA5"/>
    <w:rsid w:val="00F41E9B"/>
    <w:rsid w:val="00F4241F"/>
    <w:rsid w:val="00F4403E"/>
    <w:rsid w:val="00F44E15"/>
    <w:rsid w:val="00F50708"/>
    <w:rsid w:val="00F51E19"/>
    <w:rsid w:val="00F5203C"/>
    <w:rsid w:val="00F52E35"/>
    <w:rsid w:val="00F53773"/>
    <w:rsid w:val="00F53D80"/>
    <w:rsid w:val="00F54940"/>
    <w:rsid w:val="00F55959"/>
    <w:rsid w:val="00F56E48"/>
    <w:rsid w:val="00F57267"/>
    <w:rsid w:val="00F60D11"/>
    <w:rsid w:val="00F62CDC"/>
    <w:rsid w:val="00F63835"/>
    <w:rsid w:val="00F63C00"/>
    <w:rsid w:val="00F66025"/>
    <w:rsid w:val="00F7225C"/>
    <w:rsid w:val="00F72E9E"/>
    <w:rsid w:val="00F772CD"/>
    <w:rsid w:val="00F77949"/>
    <w:rsid w:val="00F83373"/>
    <w:rsid w:val="00F844ED"/>
    <w:rsid w:val="00F8582D"/>
    <w:rsid w:val="00F85CD0"/>
    <w:rsid w:val="00F86245"/>
    <w:rsid w:val="00F874CA"/>
    <w:rsid w:val="00F876FB"/>
    <w:rsid w:val="00F902C4"/>
    <w:rsid w:val="00F905AD"/>
    <w:rsid w:val="00F91E37"/>
    <w:rsid w:val="00F9379C"/>
    <w:rsid w:val="00F937D3"/>
    <w:rsid w:val="00F9522C"/>
    <w:rsid w:val="00F966F5"/>
    <w:rsid w:val="00F97BFE"/>
    <w:rsid w:val="00FA24E0"/>
    <w:rsid w:val="00FA41D1"/>
    <w:rsid w:val="00FA63B8"/>
    <w:rsid w:val="00FB0438"/>
    <w:rsid w:val="00FB472C"/>
    <w:rsid w:val="00FB49F6"/>
    <w:rsid w:val="00FB4B32"/>
    <w:rsid w:val="00FB669E"/>
    <w:rsid w:val="00FC1925"/>
    <w:rsid w:val="00FC474B"/>
    <w:rsid w:val="00FC4DB2"/>
    <w:rsid w:val="00FC50DB"/>
    <w:rsid w:val="00FC668D"/>
    <w:rsid w:val="00FD0548"/>
    <w:rsid w:val="00FD1D7A"/>
    <w:rsid w:val="00FD1DB9"/>
    <w:rsid w:val="00FD2FF5"/>
    <w:rsid w:val="00FD3A6D"/>
    <w:rsid w:val="00FD45B2"/>
    <w:rsid w:val="00FD511F"/>
    <w:rsid w:val="00FD5871"/>
    <w:rsid w:val="00FD5AB9"/>
    <w:rsid w:val="00FD63C9"/>
    <w:rsid w:val="00FD664F"/>
    <w:rsid w:val="00FE0892"/>
    <w:rsid w:val="00FE1A39"/>
    <w:rsid w:val="00FE59DC"/>
    <w:rsid w:val="00FE5C13"/>
    <w:rsid w:val="00FE7066"/>
    <w:rsid w:val="00FF220A"/>
    <w:rsid w:val="00FF32CE"/>
    <w:rsid w:val="00FF43D0"/>
    <w:rsid w:val="00FF64CB"/>
    <w:rsid w:val="0147686F"/>
    <w:rsid w:val="0171469F"/>
    <w:rsid w:val="017E2CDF"/>
    <w:rsid w:val="0194618D"/>
    <w:rsid w:val="01BD4A83"/>
    <w:rsid w:val="02060DD5"/>
    <w:rsid w:val="0206170C"/>
    <w:rsid w:val="026B65E1"/>
    <w:rsid w:val="02732A94"/>
    <w:rsid w:val="02E52D76"/>
    <w:rsid w:val="038A7627"/>
    <w:rsid w:val="044A285D"/>
    <w:rsid w:val="044E0E32"/>
    <w:rsid w:val="047D46F9"/>
    <w:rsid w:val="04A7716F"/>
    <w:rsid w:val="04CD6C19"/>
    <w:rsid w:val="04FD4A7A"/>
    <w:rsid w:val="052A576A"/>
    <w:rsid w:val="05776166"/>
    <w:rsid w:val="05C336C1"/>
    <w:rsid w:val="061337F3"/>
    <w:rsid w:val="066606B5"/>
    <w:rsid w:val="078A3DDB"/>
    <w:rsid w:val="07CF3F25"/>
    <w:rsid w:val="08655775"/>
    <w:rsid w:val="08F655F4"/>
    <w:rsid w:val="09D75426"/>
    <w:rsid w:val="0A950FF4"/>
    <w:rsid w:val="0AC67B91"/>
    <w:rsid w:val="0ACE31FA"/>
    <w:rsid w:val="0AFA14CB"/>
    <w:rsid w:val="0B1D7C5B"/>
    <w:rsid w:val="0BEB3BE4"/>
    <w:rsid w:val="0C1E0720"/>
    <w:rsid w:val="0CA5201D"/>
    <w:rsid w:val="0CED1DD9"/>
    <w:rsid w:val="0CF602B9"/>
    <w:rsid w:val="0D1349C7"/>
    <w:rsid w:val="0D2B2D96"/>
    <w:rsid w:val="0D2D06DC"/>
    <w:rsid w:val="0DA11EA6"/>
    <w:rsid w:val="0DDF411C"/>
    <w:rsid w:val="0DEA0AAF"/>
    <w:rsid w:val="0DEE0F90"/>
    <w:rsid w:val="0E9535B2"/>
    <w:rsid w:val="0E976DF9"/>
    <w:rsid w:val="0EDB3379"/>
    <w:rsid w:val="0FA019E6"/>
    <w:rsid w:val="0FBF4375"/>
    <w:rsid w:val="0FE16FFE"/>
    <w:rsid w:val="10066A65"/>
    <w:rsid w:val="10293175"/>
    <w:rsid w:val="102F0A2D"/>
    <w:rsid w:val="10512A77"/>
    <w:rsid w:val="107514F4"/>
    <w:rsid w:val="10A8789A"/>
    <w:rsid w:val="10EC5C5A"/>
    <w:rsid w:val="11017AD2"/>
    <w:rsid w:val="111100AC"/>
    <w:rsid w:val="11490D75"/>
    <w:rsid w:val="11603F53"/>
    <w:rsid w:val="11771B12"/>
    <w:rsid w:val="13385EAB"/>
    <w:rsid w:val="137E6027"/>
    <w:rsid w:val="139C60C7"/>
    <w:rsid w:val="139D70FD"/>
    <w:rsid w:val="13C54541"/>
    <w:rsid w:val="13D23B78"/>
    <w:rsid w:val="13E75E64"/>
    <w:rsid w:val="144560CF"/>
    <w:rsid w:val="14935A24"/>
    <w:rsid w:val="14AD19C6"/>
    <w:rsid w:val="1588088B"/>
    <w:rsid w:val="15B21729"/>
    <w:rsid w:val="164E6152"/>
    <w:rsid w:val="1706655D"/>
    <w:rsid w:val="174A36B2"/>
    <w:rsid w:val="176C3B22"/>
    <w:rsid w:val="178749AD"/>
    <w:rsid w:val="17BB4E4E"/>
    <w:rsid w:val="17BC12F4"/>
    <w:rsid w:val="17DF2075"/>
    <w:rsid w:val="17FC3E4F"/>
    <w:rsid w:val="180A4E0D"/>
    <w:rsid w:val="18243AF2"/>
    <w:rsid w:val="18467F81"/>
    <w:rsid w:val="184E612C"/>
    <w:rsid w:val="18671FCC"/>
    <w:rsid w:val="18B507FF"/>
    <w:rsid w:val="1A185795"/>
    <w:rsid w:val="1A8B64E4"/>
    <w:rsid w:val="1AE8286C"/>
    <w:rsid w:val="1B087B35"/>
    <w:rsid w:val="1B4C6B72"/>
    <w:rsid w:val="1BF04FBD"/>
    <w:rsid w:val="1C007551"/>
    <w:rsid w:val="1C893B23"/>
    <w:rsid w:val="1CAB5764"/>
    <w:rsid w:val="1CCB0E1A"/>
    <w:rsid w:val="1CD716B8"/>
    <w:rsid w:val="1D293D33"/>
    <w:rsid w:val="1DA53FC1"/>
    <w:rsid w:val="1DD737EE"/>
    <w:rsid w:val="1DDA4C1B"/>
    <w:rsid w:val="1DDF6CA9"/>
    <w:rsid w:val="1E2A7DC2"/>
    <w:rsid w:val="1E2B7F00"/>
    <w:rsid w:val="1E883191"/>
    <w:rsid w:val="1EB03847"/>
    <w:rsid w:val="1EE17E34"/>
    <w:rsid w:val="1F3461BB"/>
    <w:rsid w:val="1F9108F4"/>
    <w:rsid w:val="1FB64B0E"/>
    <w:rsid w:val="1FCB16E8"/>
    <w:rsid w:val="1FDF5301"/>
    <w:rsid w:val="205E0FBE"/>
    <w:rsid w:val="20A761E5"/>
    <w:rsid w:val="20BA3414"/>
    <w:rsid w:val="20E2083C"/>
    <w:rsid w:val="214A32E8"/>
    <w:rsid w:val="215619E3"/>
    <w:rsid w:val="219B7073"/>
    <w:rsid w:val="224156DA"/>
    <w:rsid w:val="2261120F"/>
    <w:rsid w:val="226338A3"/>
    <w:rsid w:val="22943588"/>
    <w:rsid w:val="2298685E"/>
    <w:rsid w:val="22CA3ACD"/>
    <w:rsid w:val="239A7798"/>
    <w:rsid w:val="239C6089"/>
    <w:rsid w:val="23CE7442"/>
    <w:rsid w:val="23E70D31"/>
    <w:rsid w:val="23FA6C85"/>
    <w:rsid w:val="24661971"/>
    <w:rsid w:val="24B824FF"/>
    <w:rsid w:val="25244FDF"/>
    <w:rsid w:val="259E72D8"/>
    <w:rsid w:val="26281F3D"/>
    <w:rsid w:val="266D4F28"/>
    <w:rsid w:val="269E134D"/>
    <w:rsid w:val="26D56CBA"/>
    <w:rsid w:val="26FD3424"/>
    <w:rsid w:val="272A0E33"/>
    <w:rsid w:val="272B6CFB"/>
    <w:rsid w:val="276E0D20"/>
    <w:rsid w:val="278873F5"/>
    <w:rsid w:val="28527F1F"/>
    <w:rsid w:val="28860CA2"/>
    <w:rsid w:val="28D55B18"/>
    <w:rsid w:val="297E41D8"/>
    <w:rsid w:val="2A1262DA"/>
    <w:rsid w:val="2A4B431C"/>
    <w:rsid w:val="2A833231"/>
    <w:rsid w:val="2A846994"/>
    <w:rsid w:val="2A9452C1"/>
    <w:rsid w:val="2AC7261B"/>
    <w:rsid w:val="2ACF41CB"/>
    <w:rsid w:val="2B0674C1"/>
    <w:rsid w:val="2B7B2B09"/>
    <w:rsid w:val="2B820395"/>
    <w:rsid w:val="2C066AE0"/>
    <w:rsid w:val="2C0C0C30"/>
    <w:rsid w:val="2C465478"/>
    <w:rsid w:val="2C7F577D"/>
    <w:rsid w:val="2CE87C8C"/>
    <w:rsid w:val="2D0F4D53"/>
    <w:rsid w:val="2D2C73E8"/>
    <w:rsid w:val="2D6075BF"/>
    <w:rsid w:val="2D6A7136"/>
    <w:rsid w:val="2DAE5F03"/>
    <w:rsid w:val="2E0B75B6"/>
    <w:rsid w:val="2E2647AE"/>
    <w:rsid w:val="2E8C2B97"/>
    <w:rsid w:val="2EEF396D"/>
    <w:rsid w:val="2F207094"/>
    <w:rsid w:val="30182483"/>
    <w:rsid w:val="30291BA3"/>
    <w:rsid w:val="3091242D"/>
    <w:rsid w:val="30BC576C"/>
    <w:rsid w:val="30DE2172"/>
    <w:rsid w:val="316B62D0"/>
    <w:rsid w:val="31712EEC"/>
    <w:rsid w:val="31AF08B2"/>
    <w:rsid w:val="31D11E4A"/>
    <w:rsid w:val="32087BD7"/>
    <w:rsid w:val="325F4ECC"/>
    <w:rsid w:val="327E0EB5"/>
    <w:rsid w:val="3294173B"/>
    <w:rsid w:val="32A108A6"/>
    <w:rsid w:val="32D768DE"/>
    <w:rsid w:val="32FF596F"/>
    <w:rsid w:val="336B5B8A"/>
    <w:rsid w:val="339F57EB"/>
    <w:rsid w:val="3421582C"/>
    <w:rsid w:val="346F2B43"/>
    <w:rsid w:val="34D17B54"/>
    <w:rsid w:val="34EA7648"/>
    <w:rsid w:val="35326319"/>
    <w:rsid w:val="3543145B"/>
    <w:rsid w:val="359A7184"/>
    <w:rsid w:val="359E7759"/>
    <w:rsid w:val="35D06A93"/>
    <w:rsid w:val="36053D7A"/>
    <w:rsid w:val="3610352B"/>
    <w:rsid w:val="364049F9"/>
    <w:rsid w:val="36637EBD"/>
    <w:rsid w:val="36675791"/>
    <w:rsid w:val="36782A6C"/>
    <w:rsid w:val="3680275C"/>
    <w:rsid w:val="37016C3E"/>
    <w:rsid w:val="3720190B"/>
    <w:rsid w:val="375C6DE7"/>
    <w:rsid w:val="37827E9D"/>
    <w:rsid w:val="37E51415"/>
    <w:rsid w:val="37F7739E"/>
    <w:rsid w:val="3983200A"/>
    <w:rsid w:val="39B84AFA"/>
    <w:rsid w:val="39BF0B65"/>
    <w:rsid w:val="3AF13053"/>
    <w:rsid w:val="3B620AA1"/>
    <w:rsid w:val="3C1B084A"/>
    <w:rsid w:val="3C293F84"/>
    <w:rsid w:val="3C3025F0"/>
    <w:rsid w:val="3CE36CF8"/>
    <w:rsid w:val="3D1A0A8C"/>
    <w:rsid w:val="3D2263DC"/>
    <w:rsid w:val="3D2D62C2"/>
    <w:rsid w:val="3D344795"/>
    <w:rsid w:val="3D4C33BF"/>
    <w:rsid w:val="3D7D3613"/>
    <w:rsid w:val="3DE45B6A"/>
    <w:rsid w:val="3DF06CA4"/>
    <w:rsid w:val="3E03186F"/>
    <w:rsid w:val="3E1D4FA1"/>
    <w:rsid w:val="3E793CEB"/>
    <w:rsid w:val="3E860444"/>
    <w:rsid w:val="3E8B2200"/>
    <w:rsid w:val="3F0D3B17"/>
    <w:rsid w:val="3F66263A"/>
    <w:rsid w:val="3F7F2DD8"/>
    <w:rsid w:val="3FC279BE"/>
    <w:rsid w:val="3FDF2655"/>
    <w:rsid w:val="40302BBE"/>
    <w:rsid w:val="404B70DF"/>
    <w:rsid w:val="40F93554"/>
    <w:rsid w:val="41614FF9"/>
    <w:rsid w:val="41867C64"/>
    <w:rsid w:val="41F478AA"/>
    <w:rsid w:val="420936C7"/>
    <w:rsid w:val="426027ED"/>
    <w:rsid w:val="43485D96"/>
    <w:rsid w:val="43726EDA"/>
    <w:rsid w:val="43DA4627"/>
    <w:rsid w:val="43DF1501"/>
    <w:rsid w:val="43EC525B"/>
    <w:rsid w:val="4441010D"/>
    <w:rsid w:val="445C4A4F"/>
    <w:rsid w:val="44B411CF"/>
    <w:rsid w:val="44E01544"/>
    <w:rsid w:val="450D1720"/>
    <w:rsid w:val="45193DEC"/>
    <w:rsid w:val="45A40490"/>
    <w:rsid w:val="46554225"/>
    <w:rsid w:val="46ED0E97"/>
    <w:rsid w:val="476A4701"/>
    <w:rsid w:val="47D77368"/>
    <w:rsid w:val="48524725"/>
    <w:rsid w:val="48621D83"/>
    <w:rsid w:val="48626393"/>
    <w:rsid w:val="48A7439E"/>
    <w:rsid w:val="490D7F6F"/>
    <w:rsid w:val="49463453"/>
    <w:rsid w:val="49665CC4"/>
    <w:rsid w:val="49FE07D6"/>
    <w:rsid w:val="4A5E12F4"/>
    <w:rsid w:val="4A7926FD"/>
    <w:rsid w:val="4A8A2BE3"/>
    <w:rsid w:val="4B105AC6"/>
    <w:rsid w:val="4B820435"/>
    <w:rsid w:val="4BE35675"/>
    <w:rsid w:val="4CA076A3"/>
    <w:rsid w:val="4CF46895"/>
    <w:rsid w:val="4D127C81"/>
    <w:rsid w:val="4DF41AF4"/>
    <w:rsid w:val="4E6F7D16"/>
    <w:rsid w:val="4EED0F66"/>
    <w:rsid w:val="4F2935FA"/>
    <w:rsid w:val="4F7F4EA8"/>
    <w:rsid w:val="4FFA4A66"/>
    <w:rsid w:val="502321AE"/>
    <w:rsid w:val="504000AD"/>
    <w:rsid w:val="50487AB0"/>
    <w:rsid w:val="50630D8E"/>
    <w:rsid w:val="509D0872"/>
    <w:rsid w:val="50AC653E"/>
    <w:rsid w:val="50EF2239"/>
    <w:rsid w:val="50FE2F0E"/>
    <w:rsid w:val="512B2187"/>
    <w:rsid w:val="513A6FDB"/>
    <w:rsid w:val="51631915"/>
    <w:rsid w:val="5214587F"/>
    <w:rsid w:val="523A4C08"/>
    <w:rsid w:val="52687B43"/>
    <w:rsid w:val="52E52950"/>
    <w:rsid w:val="53590226"/>
    <w:rsid w:val="535D33A7"/>
    <w:rsid w:val="53825708"/>
    <w:rsid w:val="538D40C4"/>
    <w:rsid w:val="540762D1"/>
    <w:rsid w:val="5440688F"/>
    <w:rsid w:val="54512FB6"/>
    <w:rsid w:val="546B11A7"/>
    <w:rsid w:val="54C26F7D"/>
    <w:rsid w:val="555D7306"/>
    <w:rsid w:val="55DA38A0"/>
    <w:rsid w:val="55FF4E3B"/>
    <w:rsid w:val="56204B57"/>
    <w:rsid w:val="56D7501F"/>
    <w:rsid w:val="5739535F"/>
    <w:rsid w:val="574F0329"/>
    <w:rsid w:val="578C795E"/>
    <w:rsid w:val="580009B1"/>
    <w:rsid w:val="58024A68"/>
    <w:rsid w:val="5863721F"/>
    <w:rsid w:val="58712EA8"/>
    <w:rsid w:val="58DA2F36"/>
    <w:rsid w:val="5ADD34EB"/>
    <w:rsid w:val="5AED202C"/>
    <w:rsid w:val="5B037C89"/>
    <w:rsid w:val="5B533335"/>
    <w:rsid w:val="5B5A5C7F"/>
    <w:rsid w:val="5B684656"/>
    <w:rsid w:val="5B8F0C89"/>
    <w:rsid w:val="5C05719D"/>
    <w:rsid w:val="5C497BCF"/>
    <w:rsid w:val="5C6A5252"/>
    <w:rsid w:val="5C921410"/>
    <w:rsid w:val="5CC86A12"/>
    <w:rsid w:val="5CE13766"/>
    <w:rsid w:val="5CEB0141"/>
    <w:rsid w:val="5D0F3092"/>
    <w:rsid w:val="5D117EF1"/>
    <w:rsid w:val="5E7F07B7"/>
    <w:rsid w:val="5E9E2C02"/>
    <w:rsid w:val="5EA14247"/>
    <w:rsid w:val="5ED06160"/>
    <w:rsid w:val="5FA25C8E"/>
    <w:rsid w:val="5FB057A0"/>
    <w:rsid w:val="6013408A"/>
    <w:rsid w:val="602C0351"/>
    <w:rsid w:val="60791F08"/>
    <w:rsid w:val="6088127E"/>
    <w:rsid w:val="60A51EE2"/>
    <w:rsid w:val="60C018E5"/>
    <w:rsid w:val="61AE3ACF"/>
    <w:rsid w:val="61C7729B"/>
    <w:rsid w:val="61EF5016"/>
    <w:rsid w:val="62E95123"/>
    <w:rsid w:val="62ED0F14"/>
    <w:rsid w:val="6317625B"/>
    <w:rsid w:val="635A5648"/>
    <w:rsid w:val="636779FC"/>
    <w:rsid w:val="64162A6C"/>
    <w:rsid w:val="64601415"/>
    <w:rsid w:val="646C71BF"/>
    <w:rsid w:val="65415A39"/>
    <w:rsid w:val="658F2C3D"/>
    <w:rsid w:val="65B1600E"/>
    <w:rsid w:val="65BA4437"/>
    <w:rsid w:val="661D3F3A"/>
    <w:rsid w:val="66275E2B"/>
    <w:rsid w:val="66AD1DE0"/>
    <w:rsid w:val="67242BCD"/>
    <w:rsid w:val="67795B23"/>
    <w:rsid w:val="67DF59B7"/>
    <w:rsid w:val="6814235A"/>
    <w:rsid w:val="682E5736"/>
    <w:rsid w:val="68485319"/>
    <w:rsid w:val="68DC4C9A"/>
    <w:rsid w:val="6900125F"/>
    <w:rsid w:val="692516D9"/>
    <w:rsid w:val="69D65CD5"/>
    <w:rsid w:val="69F64622"/>
    <w:rsid w:val="6A4B4687"/>
    <w:rsid w:val="6A7C288B"/>
    <w:rsid w:val="6A814302"/>
    <w:rsid w:val="6B195AC4"/>
    <w:rsid w:val="6B7B2FD8"/>
    <w:rsid w:val="6C2B71B1"/>
    <w:rsid w:val="6C375DA9"/>
    <w:rsid w:val="6D3F5FA4"/>
    <w:rsid w:val="6D5E495F"/>
    <w:rsid w:val="6DBF48FD"/>
    <w:rsid w:val="6E0A0FA0"/>
    <w:rsid w:val="6E1374F8"/>
    <w:rsid w:val="6E197145"/>
    <w:rsid w:val="6E9E4671"/>
    <w:rsid w:val="6F327F0C"/>
    <w:rsid w:val="706F4A1F"/>
    <w:rsid w:val="70C0123E"/>
    <w:rsid w:val="70D23A89"/>
    <w:rsid w:val="70DC15DB"/>
    <w:rsid w:val="713C16A8"/>
    <w:rsid w:val="71850E38"/>
    <w:rsid w:val="71AA0A45"/>
    <w:rsid w:val="7256411B"/>
    <w:rsid w:val="72BB1C9A"/>
    <w:rsid w:val="73912327"/>
    <w:rsid w:val="73B76A6C"/>
    <w:rsid w:val="73EF1DB4"/>
    <w:rsid w:val="742524FA"/>
    <w:rsid w:val="74524214"/>
    <w:rsid w:val="74991FC7"/>
    <w:rsid w:val="749D5D6D"/>
    <w:rsid w:val="74D6127F"/>
    <w:rsid w:val="751212D8"/>
    <w:rsid w:val="75B6550E"/>
    <w:rsid w:val="76580B4A"/>
    <w:rsid w:val="765B5EE0"/>
    <w:rsid w:val="769413F2"/>
    <w:rsid w:val="77550675"/>
    <w:rsid w:val="77C77C2F"/>
    <w:rsid w:val="77CE4C30"/>
    <w:rsid w:val="77EB111C"/>
    <w:rsid w:val="781D5773"/>
    <w:rsid w:val="78646B81"/>
    <w:rsid w:val="788B2CA4"/>
    <w:rsid w:val="79197B6B"/>
    <w:rsid w:val="79442A9D"/>
    <w:rsid w:val="7A4F7D09"/>
    <w:rsid w:val="7A92798C"/>
    <w:rsid w:val="7AD002CC"/>
    <w:rsid w:val="7B1C44EF"/>
    <w:rsid w:val="7B315B6D"/>
    <w:rsid w:val="7B324FCA"/>
    <w:rsid w:val="7C643231"/>
    <w:rsid w:val="7CAA50B8"/>
    <w:rsid w:val="7D9121E7"/>
    <w:rsid w:val="7DA46503"/>
    <w:rsid w:val="7EC02D84"/>
    <w:rsid w:val="7EE143AA"/>
    <w:rsid w:val="7F136352"/>
    <w:rsid w:val="7F427EA1"/>
    <w:rsid w:val="7FE749B8"/>
    <w:rsid w:val="7FE80242"/>
    <w:rsid w:val="7FF47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3"/>
    <w:link w:val="51"/>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qFormat/>
    <w:uiPriority w:val="0"/>
    <w:pPr>
      <w:keepNext/>
      <w:keepLines/>
      <w:widowControl/>
      <w:spacing w:before="260" w:beforeLines="0" w:after="260" w:afterLines="0" w:line="413" w:lineRule="auto"/>
      <w:jc w:val="center"/>
      <w:outlineLvl w:val="1"/>
    </w:pPr>
    <w:rPr>
      <w:rFonts w:ascii="Arial" w:hAnsi="Arial" w:eastAsia="黑体"/>
      <w:b/>
      <w:kern w:val="0"/>
      <w:sz w:val="44"/>
      <w:szCs w:val="20"/>
    </w:rPr>
  </w:style>
  <w:style w:type="paragraph" w:styleId="5">
    <w:name w:val="heading 3"/>
    <w:basedOn w:val="1"/>
    <w:next w:val="6"/>
    <w:link w:val="45"/>
    <w:qFormat/>
    <w:uiPriority w:val="0"/>
    <w:pPr>
      <w:keepNext/>
      <w:keepLines/>
      <w:widowControl/>
      <w:numPr>
        <w:ilvl w:val="2"/>
        <w:numId w:val="1"/>
      </w:numPr>
      <w:spacing w:before="120" w:after="120" w:line="360" w:lineRule="auto"/>
      <w:jc w:val="center"/>
      <w:outlineLvl w:val="2"/>
    </w:pPr>
    <w:rPr>
      <w:rFonts w:eastAsia="宋体"/>
      <w:b/>
      <w:sz w:val="32"/>
      <w:lang w:val="en-US" w:eastAsia="zh-CN" w:bidi="ar-SA"/>
    </w:rPr>
  </w:style>
  <w:style w:type="paragraph" w:styleId="7">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8">
    <w:name w:val="heading 5"/>
    <w:basedOn w:val="1"/>
    <w:next w:val="1"/>
    <w:qFormat/>
    <w:uiPriority w:val="0"/>
    <w:pPr>
      <w:keepNext/>
      <w:keepLines/>
      <w:widowControl/>
      <w:spacing w:before="120" w:beforeLines="0" w:after="120" w:afterLines="0" w:line="360" w:lineRule="auto"/>
      <w:ind w:firstLine="499"/>
      <w:jc w:val="left"/>
      <w:outlineLvl w:val="4"/>
    </w:pPr>
    <w:rPr>
      <w:rFonts w:ascii="宋体" w:hAnsi="宋体"/>
      <w:b/>
      <w:kern w:val="0"/>
      <w:sz w:val="24"/>
      <w:szCs w:val="20"/>
    </w:rPr>
  </w:style>
  <w:style w:type="paragraph" w:styleId="9">
    <w:name w:val="heading 6"/>
    <w:basedOn w:val="1"/>
    <w:next w:val="1"/>
    <w:qFormat/>
    <w:uiPriority w:val="0"/>
    <w:pPr>
      <w:keepNext/>
      <w:keepLines/>
      <w:widowControl/>
      <w:numPr>
        <w:ilvl w:val="5"/>
        <w:numId w:val="1"/>
      </w:numPr>
      <w:spacing w:before="240" w:beforeLines="0" w:after="64" w:afterLines="0" w:line="317" w:lineRule="auto"/>
      <w:jc w:val="left"/>
      <w:outlineLvl w:val="5"/>
    </w:pPr>
    <w:rPr>
      <w:rFonts w:ascii="Arial" w:hAnsi="Arial" w:eastAsia="黑体"/>
      <w:b/>
      <w:bCs/>
      <w:kern w:val="0"/>
      <w:sz w:val="24"/>
    </w:rPr>
  </w:style>
  <w:style w:type="paragraph" w:styleId="10">
    <w:name w:val="heading 7"/>
    <w:basedOn w:val="1"/>
    <w:next w:val="1"/>
    <w:qFormat/>
    <w:uiPriority w:val="0"/>
    <w:pPr>
      <w:keepNext/>
      <w:keepLines/>
      <w:widowControl/>
      <w:numPr>
        <w:ilvl w:val="6"/>
        <w:numId w:val="1"/>
      </w:numPr>
      <w:spacing w:before="240" w:beforeLines="0" w:after="64" w:afterLines="0" w:line="317" w:lineRule="auto"/>
      <w:jc w:val="left"/>
      <w:outlineLvl w:val="6"/>
    </w:pPr>
    <w:rPr>
      <w:b/>
      <w:bCs/>
      <w:kern w:val="0"/>
      <w:sz w:val="24"/>
    </w:rPr>
  </w:style>
  <w:style w:type="paragraph" w:styleId="11">
    <w:name w:val="heading 8"/>
    <w:basedOn w:val="1"/>
    <w:next w:val="1"/>
    <w:qFormat/>
    <w:uiPriority w:val="0"/>
    <w:pPr>
      <w:keepNext/>
      <w:keepLines/>
      <w:widowControl/>
      <w:numPr>
        <w:ilvl w:val="7"/>
        <w:numId w:val="1"/>
      </w:numPr>
      <w:spacing w:before="240" w:beforeLines="0" w:after="64" w:afterLines="0" w:line="317" w:lineRule="auto"/>
      <w:jc w:val="left"/>
      <w:outlineLvl w:val="7"/>
    </w:pPr>
    <w:rPr>
      <w:rFonts w:ascii="Arial" w:hAnsi="Arial" w:eastAsia="黑体"/>
      <w:kern w:val="0"/>
      <w:sz w:val="24"/>
    </w:rPr>
  </w:style>
  <w:style w:type="paragraph" w:styleId="12">
    <w:name w:val="heading 9"/>
    <w:basedOn w:val="1"/>
    <w:next w:val="1"/>
    <w:qFormat/>
    <w:uiPriority w:val="0"/>
    <w:pPr>
      <w:keepNext/>
      <w:keepLines/>
      <w:widowControl/>
      <w:numPr>
        <w:ilvl w:val="8"/>
        <w:numId w:val="1"/>
      </w:numPr>
      <w:spacing w:before="240" w:beforeLines="0" w:after="64" w:afterLines="0" w:line="317" w:lineRule="auto"/>
      <w:jc w:val="left"/>
      <w:outlineLvl w:val="8"/>
    </w:pPr>
    <w:rPr>
      <w:rFonts w:ascii="Arial" w:hAnsi="Arial" w:eastAsia="黑体"/>
      <w:kern w:val="0"/>
      <w:szCs w:val="21"/>
    </w:rPr>
  </w:style>
  <w:style w:type="character" w:default="1" w:styleId="40">
    <w:name w:val="Default Paragraph Font"/>
    <w:qFormat/>
    <w:uiPriority w:val="0"/>
  </w:style>
  <w:style w:type="table" w:default="1" w:styleId="38">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customStyle="1" w:styleId="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link w:val="46"/>
    <w:qFormat/>
    <w:uiPriority w:val="0"/>
    <w:pPr>
      <w:ind w:firstLine="420" w:firstLineChars="200"/>
    </w:pPr>
  </w:style>
  <w:style w:type="paragraph" w:styleId="13">
    <w:name w:val="toc 7"/>
    <w:basedOn w:val="1"/>
    <w:next w:val="1"/>
    <w:qFormat/>
    <w:uiPriority w:val="0"/>
    <w:pPr>
      <w:ind w:left="1260"/>
      <w:jc w:val="left"/>
    </w:pPr>
    <w:rPr>
      <w:sz w:val="18"/>
      <w:szCs w:val="18"/>
    </w:rPr>
  </w:style>
  <w:style w:type="paragraph" w:styleId="14">
    <w:name w:val="annotation text"/>
    <w:basedOn w:val="1"/>
    <w:qFormat/>
    <w:uiPriority w:val="0"/>
    <w:pPr>
      <w:adjustRightInd w:val="0"/>
      <w:spacing w:line="360" w:lineRule="atLeast"/>
      <w:jc w:val="left"/>
      <w:textAlignment w:val="baseline"/>
    </w:pPr>
    <w:rPr>
      <w:kern w:val="0"/>
      <w:sz w:val="24"/>
      <w:szCs w:val="20"/>
    </w:rPr>
  </w:style>
  <w:style w:type="paragraph" w:styleId="15">
    <w:name w:val="Body Text"/>
    <w:basedOn w:val="1"/>
    <w:qFormat/>
    <w:uiPriority w:val="0"/>
    <w:pPr>
      <w:widowControl/>
      <w:spacing w:after="120" w:afterLines="0"/>
      <w:jc w:val="left"/>
    </w:pPr>
    <w:rPr>
      <w:kern w:val="0"/>
      <w:sz w:val="20"/>
      <w:szCs w:val="20"/>
    </w:rPr>
  </w:style>
  <w:style w:type="paragraph" w:styleId="16">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17">
    <w:name w:val="toc 5"/>
    <w:basedOn w:val="1"/>
    <w:next w:val="1"/>
    <w:qFormat/>
    <w:uiPriority w:val="0"/>
    <w:pPr>
      <w:ind w:left="840"/>
      <w:jc w:val="left"/>
    </w:pPr>
    <w:rPr>
      <w:sz w:val="18"/>
      <w:szCs w:val="18"/>
    </w:rPr>
  </w:style>
  <w:style w:type="paragraph" w:styleId="18">
    <w:name w:val="toc 3"/>
    <w:basedOn w:val="1"/>
    <w:next w:val="1"/>
    <w:qFormat/>
    <w:uiPriority w:val="0"/>
    <w:pPr>
      <w:ind w:left="420"/>
      <w:jc w:val="left"/>
    </w:pPr>
    <w:rPr>
      <w:i/>
      <w:iCs/>
      <w:sz w:val="20"/>
      <w:szCs w:val="20"/>
    </w:rPr>
  </w:style>
  <w:style w:type="paragraph" w:styleId="19">
    <w:name w:val="Plain Text"/>
    <w:basedOn w:val="3"/>
    <w:link w:val="47"/>
    <w:qFormat/>
    <w:uiPriority w:val="99"/>
    <w:rPr>
      <w:rFonts w:ascii="宋体" w:hAnsi="Courier New" w:eastAsia="宋体" w:cs="Courier New"/>
      <w:kern w:val="2"/>
      <w:sz w:val="21"/>
      <w:szCs w:val="21"/>
      <w:lang w:val="en-US" w:eastAsia="zh-CN" w:bidi="ar-SA"/>
    </w:rPr>
  </w:style>
  <w:style w:type="paragraph" w:styleId="20">
    <w:name w:val="toc 8"/>
    <w:basedOn w:val="1"/>
    <w:next w:val="1"/>
    <w:qFormat/>
    <w:uiPriority w:val="0"/>
    <w:pPr>
      <w:ind w:left="1470"/>
      <w:jc w:val="left"/>
    </w:pPr>
    <w:rPr>
      <w:sz w:val="18"/>
      <w:szCs w:val="18"/>
    </w:rPr>
  </w:style>
  <w:style w:type="paragraph" w:styleId="21">
    <w:name w:val="Date"/>
    <w:basedOn w:val="1"/>
    <w:next w:val="1"/>
    <w:qFormat/>
    <w:uiPriority w:val="0"/>
    <w:pPr>
      <w:ind w:left="100" w:leftChars="2500"/>
    </w:pPr>
    <w:rPr>
      <w:rFonts w:ascii="宋体" w:hAnsi="宋体"/>
      <w:sz w:val="28"/>
      <w:szCs w:val="20"/>
    </w:rPr>
  </w:style>
  <w:style w:type="paragraph" w:styleId="22">
    <w:name w:val="Body Text Indent 2"/>
    <w:basedOn w:val="1"/>
    <w:qFormat/>
    <w:uiPriority w:val="0"/>
    <w:pPr>
      <w:spacing w:after="120" w:afterLines="0" w:line="480" w:lineRule="auto"/>
      <w:ind w:left="420" w:leftChars="200"/>
    </w:pPr>
  </w:style>
  <w:style w:type="paragraph" w:styleId="23">
    <w:name w:val="Balloon Text"/>
    <w:basedOn w:val="1"/>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spacing w:before="120" w:beforeLines="0" w:after="120" w:afterLines="0"/>
      <w:ind w:firstLine="420" w:firstLineChars="200"/>
      <w:jc w:val="left"/>
    </w:pPr>
    <w:rPr>
      <w:rFonts w:ascii="宋体" w:hAnsi="宋体"/>
      <w:bCs/>
      <w:caps/>
      <w:szCs w:val="21"/>
    </w:rPr>
  </w:style>
  <w:style w:type="paragraph" w:styleId="27">
    <w:name w:val="toc 4"/>
    <w:basedOn w:val="1"/>
    <w:next w:val="1"/>
    <w:qFormat/>
    <w:uiPriority w:val="0"/>
    <w:pPr>
      <w:ind w:left="630"/>
      <w:jc w:val="left"/>
    </w:pPr>
    <w:rPr>
      <w:sz w:val="18"/>
      <w:szCs w:val="18"/>
    </w:rPr>
  </w:style>
  <w:style w:type="paragraph" w:styleId="28">
    <w:name w:val="footnote text"/>
    <w:basedOn w:val="1"/>
    <w:qFormat/>
    <w:uiPriority w:val="0"/>
    <w:pPr>
      <w:adjustRightInd w:val="0"/>
      <w:spacing w:line="312" w:lineRule="atLeast"/>
      <w:jc w:val="left"/>
      <w:textAlignment w:val="baseline"/>
    </w:pPr>
    <w:rPr>
      <w:kern w:val="0"/>
      <w:sz w:val="18"/>
      <w:szCs w:val="20"/>
    </w:rPr>
  </w:style>
  <w:style w:type="paragraph" w:styleId="29">
    <w:name w:val="toc 6"/>
    <w:basedOn w:val="1"/>
    <w:next w:val="1"/>
    <w:qFormat/>
    <w:uiPriority w:val="0"/>
    <w:pPr>
      <w:ind w:left="1050"/>
      <w:jc w:val="left"/>
    </w:pPr>
    <w:rPr>
      <w:sz w:val="18"/>
      <w:szCs w:val="1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qFormat/>
    <w:uiPriority w:val="0"/>
    <w:pPr>
      <w:ind w:left="1680"/>
      <w:jc w:val="left"/>
    </w:pPr>
    <w:rPr>
      <w:sz w:val="18"/>
      <w:szCs w:val="18"/>
    </w:rPr>
  </w:style>
  <w:style w:type="paragraph" w:styleId="33">
    <w:name w:val="Body Text 2"/>
    <w:basedOn w:val="1"/>
    <w:link w:val="49"/>
    <w:qFormat/>
    <w:uiPriority w:val="0"/>
    <w:pPr>
      <w:spacing w:after="120" w:line="480" w:lineRule="auto"/>
    </w:p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5">
    <w:name w:val="Normal (Web)"/>
    <w:basedOn w:val="1"/>
    <w:qFormat/>
    <w:uiPriority w:val="99"/>
    <w:pPr>
      <w:widowControl/>
      <w:spacing w:before="100" w:beforeAutospacing="1" w:after="100" w:afterAutospacing="1"/>
      <w:jc w:val="left"/>
    </w:pPr>
    <w:rPr>
      <w:rFonts w:hint="eastAsia" w:ascii="宋体" w:hAnsi="宋体"/>
      <w:kern w:val="0"/>
      <w:sz w:val="24"/>
      <w:szCs w:val="20"/>
    </w:rPr>
  </w:style>
  <w:style w:type="paragraph" w:styleId="36">
    <w:name w:val="Title"/>
    <w:basedOn w:val="1"/>
    <w:next w:val="1"/>
    <w:link w:val="50"/>
    <w:qFormat/>
    <w:uiPriority w:val="0"/>
    <w:pPr>
      <w:widowControl/>
      <w:spacing w:before="240" w:beforeLines="0" w:after="60" w:afterLines="0"/>
      <w:jc w:val="center"/>
      <w:outlineLvl w:val="0"/>
    </w:pPr>
    <w:rPr>
      <w:rFonts w:ascii="Arial" w:hAnsi="Arial" w:eastAsia="宋体" w:cs="Arial"/>
      <w:b/>
      <w:bCs/>
      <w:sz w:val="44"/>
      <w:szCs w:val="32"/>
      <w:lang w:val="en-US" w:eastAsia="zh-CN" w:bidi="ar-SA"/>
    </w:rPr>
  </w:style>
  <w:style w:type="paragraph" w:styleId="37">
    <w:name w:val="Body Text First Indent 2"/>
    <w:basedOn w:val="16"/>
    <w:next w:val="1"/>
    <w:unhideWhenUsed/>
    <w:qFormat/>
    <w:uiPriority w:val="99"/>
    <w:pPr>
      <w:tabs>
        <w:tab w:val="left" w:pos="900"/>
      </w:tabs>
      <w:ind w:firstLine="420" w:firstLineChars="2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rPr>
  </w:style>
  <w:style w:type="character" w:styleId="42">
    <w:name w:val="page number"/>
    <w:qFormat/>
    <w:uiPriority w:val="0"/>
  </w:style>
  <w:style w:type="character" w:styleId="43">
    <w:name w:val="Hyperlink"/>
    <w:qFormat/>
    <w:uiPriority w:val="0"/>
    <w:rPr>
      <w:color w:val="0000FF"/>
      <w:u w:val="single"/>
    </w:rPr>
  </w:style>
  <w:style w:type="character" w:customStyle="1" w:styleId="44">
    <w:name w:val="标题 1 字符"/>
    <w:link w:val="2"/>
    <w:qFormat/>
    <w:uiPriority w:val="0"/>
    <w:rPr>
      <w:rFonts w:ascii="黑体" w:eastAsia="黑体"/>
      <w:sz w:val="52"/>
      <w:lang w:val="en-US" w:eastAsia="zh-CN" w:bidi="ar-SA"/>
    </w:rPr>
  </w:style>
  <w:style w:type="character" w:customStyle="1" w:styleId="45">
    <w:name w:val="标题 3 字符"/>
    <w:link w:val="5"/>
    <w:qFormat/>
    <w:uiPriority w:val="0"/>
    <w:rPr>
      <w:rFonts w:eastAsia="宋体"/>
      <w:b/>
      <w:kern w:val="2"/>
      <w:sz w:val="32"/>
      <w:szCs w:val="24"/>
      <w:lang w:val="en-US" w:eastAsia="zh-CN" w:bidi="ar-SA"/>
    </w:rPr>
  </w:style>
  <w:style w:type="character" w:customStyle="1" w:styleId="46">
    <w:name w:val="正文缩进 字符"/>
    <w:link w:val="6"/>
    <w:qFormat/>
    <w:uiPriority w:val="0"/>
    <w:rPr>
      <w:rFonts w:eastAsia="宋体"/>
      <w:kern w:val="2"/>
      <w:sz w:val="21"/>
      <w:szCs w:val="24"/>
      <w:lang w:val="en-US" w:eastAsia="zh-CN" w:bidi="ar-SA"/>
    </w:rPr>
  </w:style>
  <w:style w:type="character" w:customStyle="1" w:styleId="47">
    <w:name w:val="纯文本 字符"/>
    <w:link w:val="19"/>
    <w:qFormat/>
    <w:uiPriority w:val="99"/>
    <w:rPr>
      <w:rFonts w:ascii="宋体" w:hAnsi="Courier New" w:eastAsia="宋体" w:cs="Courier New"/>
      <w:kern w:val="2"/>
      <w:sz w:val="21"/>
      <w:szCs w:val="21"/>
      <w:lang w:val="en-US" w:eastAsia="zh-CN" w:bidi="ar-SA"/>
    </w:rPr>
  </w:style>
  <w:style w:type="character" w:customStyle="1" w:styleId="48">
    <w:name w:val="页眉 字符"/>
    <w:link w:val="25"/>
    <w:qFormat/>
    <w:uiPriority w:val="99"/>
    <w:rPr>
      <w:rFonts w:eastAsia="宋体"/>
      <w:kern w:val="2"/>
      <w:sz w:val="18"/>
      <w:szCs w:val="18"/>
      <w:lang w:val="en-US" w:eastAsia="zh-CN" w:bidi="ar-SA"/>
    </w:rPr>
  </w:style>
  <w:style w:type="character" w:customStyle="1" w:styleId="49">
    <w:name w:val="正文文本 2 字符"/>
    <w:link w:val="33"/>
    <w:qFormat/>
    <w:uiPriority w:val="0"/>
    <w:rPr>
      <w:kern w:val="2"/>
      <w:sz w:val="21"/>
      <w:szCs w:val="24"/>
    </w:rPr>
  </w:style>
  <w:style w:type="character" w:customStyle="1" w:styleId="50">
    <w:name w:val="标题 字符"/>
    <w:link w:val="36"/>
    <w:qFormat/>
    <w:uiPriority w:val="0"/>
    <w:rPr>
      <w:rFonts w:ascii="Arial" w:hAnsi="Arial" w:eastAsia="宋体" w:cs="Arial"/>
      <w:b/>
      <w:bCs/>
      <w:sz w:val="44"/>
      <w:szCs w:val="32"/>
      <w:lang w:val="en-US" w:eastAsia="zh-CN" w:bidi="ar-SA"/>
    </w:rPr>
  </w:style>
  <w:style w:type="character" w:customStyle="1" w:styleId="51">
    <w:name w:val="标题 1 Char"/>
    <w:link w:val="2"/>
    <w:qFormat/>
    <w:uiPriority w:val="0"/>
    <w:rPr>
      <w:b/>
      <w:kern w:val="44"/>
      <w:sz w:val="44"/>
    </w:rPr>
  </w:style>
  <w:style w:type="character" w:customStyle="1" w:styleId="52">
    <w:name w:val="普通文字 Char1"/>
    <w:qFormat/>
    <w:uiPriority w:val="0"/>
    <w:rPr>
      <w:rFonts w:ascii="宋体" w:hAnsi="Courier New" w:eastAsia="宋体"/>
      <w:kern w:val="2"/>
      <w:sz w:val="21"/>
      <w:lang w:val="en-US" w:eastAsia="zh-CN"/>
    </w:rPr>
  </w:style>
  <w:style w:type="character" w:customStyle="1" w:styleId="53">
    <w:name w:val="超链接_0"/>
    <w:basedOn w:val="40"/>
    <w:unhideWhenUsed/>
    <w:qFormat/>
    <w:uiPriority w:val="99"/>
    <w:rPr>
      <w:color w:val="0000FF"/>
      <w:u w:val="single"/>
    </w:rPr>
  </w:style>
  <w:style w:type="character" w:customStyle="1" w:styleId="54">
    <w:name w:val="font51"/>
    <w:qFormat/>
    <w:uiPriority w:val="0"/>
    <w:rPr>
      <w:rFonts w:hint="eastAsia" w:ascii="宋体" w:hAnsi="宋体" w:eastAsia="宋体" w:cs="宋体"/>
      <w:color w:val="FF0000"/>
      <w:sz w:val="24"/>
      <w:szCs w:val="24"/>
      <w:u w:val="none"/>
    </w:rPr>
  </w:style>
  <w:style w:type="character" w:customStyle="1" w:styleId="55">
    <w:name w:val="g1481"/>
    <w:qFormat/>
    <w:uiPriority w:val="0"/>
    <w:rPr>
      <w:color w:val="5F897B"/>
      <w:sz w:val="22"/>
    </w:rPr>
  </w:style>
  <w:style w:type="character" w:customStyle="1" w:styleId="56">
    <w:name w:val="Char Char1"/>
    <w:qFormat/>
    <w:uiPriority w:val="0"/>
    <w:rPr>
      <w:rFonts w:eastAsia="宋体"/>
      <w:b/>
      <w:sz w:val="32"/>
      <w:lang w:val="en-US" w:eastAsia="zh-CN" w:bidi="ar-SA"/>
    </w:rPr>
  </w:style>
  <w:style w:type="character" w:customStyle="1" w:styleId="57">
    <w:name w:val="纯文本 Char1"/>
    <w:qFormat/>
    <w:uiPriority w:val="0"/>
    <w:rPr>
      <w:rFonts w:ascii="宋体" w:hAnsi="Courier New" w:eastAsia="宋体"/>
      <w:kern w:val="2"/>
      <w:sz w:val="21"/>
      <w:lang w:val="en-US" w:eastAsia="zh-CN" w:bidi="ar-SA"/>
    </w:rPr>
  </w:style>
  <w:style w:type="paragraph" w:customStyle="1" w:styleId="58">
    <w:name w:val="默认段落字体 Para Char"/>
    <w:basedOn w:val="1"/>
    <w:qFormat/>
    <w:uiPriority w:val="0"/>
    <w:rPr>
      <w:rFonts w:ascii="Tahoma" w:hAnsi="Tahoma"/>
      <w:sz w:val="24"/>
      <w:szCs w:val="20"/>
    </w:rPr>
  </w:style>
  <w:style w:type="paragraph" w:customStyle="1" w:styleId="59">
    <w:name w:val="样式1"/>
    <w:basedOn w:val="1"/>
    <w:qFormat/>
    <w:uiPriority w:val="0"/>
    <w:pPr>
      <w:spacing w:before="120" w:beforeLines="0" w:after="120" w:afterLines="0" w:line="300" w:lineRule="auto"/>
    </w:pPr>
    <w:rPr>
      <w:rFonts w:ascii="宋体" w:hAnsi="宋体"/>
      <w:b/>
      <w:sz w:val="24"/>
      <w:szCs w:val="20"/>
    </w:rPr>
  </w:style>
  <w:style w:type="paragraph" w:customStyle="1" w:styleId="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默认段落字体 Para Char Char Char Char"/>
    <w:basedOn w:val="1"/>
    <w:qFormat/>
    <w:uiPriority w:val="0"/>
  </w:style>
  <w:style w:type="paragraph" w:customStyle="1" w:styleId="63">
    <w:name w:val="普通(网站)_0"/>
    <w:basedOn w:val="3"/>
    <w:qFormat/>
    <w:uiPriority w:val="0"/>
    <w:pPr>
      <w:widowControl/>
      <w:spacing w:before="100" w:beforeAutospacing="1" w:after="100" w:afterAutospacing="1"/>
      <w:jc w:val="left"/>
    </w:pPr>
    <w:rPr>
      <w:rFonts w:ascii="宋体" w:hAnsi="宋体" w:cs="宋体"/>
      <w:kern w:val="0"/>
      <w:sz w:val="24"/>
    </w:rPr>
  </w:style>
  <w:style w:type="paragraph" w:customStyle="1" w:styleId="64">
    <w:name w:val="p0"/>
    <w:basedOn w:val="1"/>
    <w:qFormat/>
    <w:uiPriority w:val="0"/>
    <w:rPr>
      <w:sz w:val="20"/>
      <w:szCs w:val="20"/>
    </w:rPr>
  </w:style>
  <w:style w:type="paragraph" w:customStyle="1" w:styleId="6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66">
    <w:name w:val="List Paragraph"/>
    <w:basedOn w:val="1"/>
    <w:qFormat/>
    <w:uiPriority w:val="0"/>
    <w:pPr>
      <w:ind w:firstLine="420" w:firstLineChars="200"/>
    </w:pPr>
    <w:rPr>
      <w:sz w:val="36"/>
      <w:szCs w:val="20"/>
    </w:rPr>
  </w:style>
  <w:style w:type="paragraph" w:customStyle="1" w:styleId="67">
    <w:name w:val="xl44"/>
    <w:basedOn w:val="1"/>
    <w:qFormat/>
    <w:uiPriority w:val="0"/>
    <w:pPr>
      <w:widowControl/>
      <w:spacing w:before="100" w:beforeLines="0" w:beforeAutospacing="1" w:after="100" w:afterLines="0" w:afterAutospacing="1"/>
      <w:jc w:val="center"/>
    </w:pPr>
    <w:rPr>
      <w:rFonts w:ascii="Arial Unicode MS" w:hAnsi="Arial Unicode MS" w:eastAsia="Arial Unicode MS" w:cs="Arial Unicode MS"/>
      <w:kern w:val="0"/>
      <w:sz w:val="40"/>
      <w:szCs w:val="40"/>
    </w:rPr>
  </w:style>
  <w:style w:type="paragraph" w:customStyle="1" w:styleId="68">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69">
    <w:name w:val=" Char"/>
    <w:basedOn w:val="1"/>
    <w:qFormat/>
    <w:uiPriority w:val="0"/>
    <w:pPr>
      <w:spacing w:line="360" w:lineRule="auto"/>
      <w:ind w:firstLine="200" w:firstLineChars="200"/>
    </w:pPr>
  </w:style>
  <w:style w:type="paragraph" w:customStyle="1" w:styleId="70">
    <w:name w:val="Char1"/>
    <w:basedOn w:val="1"/>
    <w:qFormat/>
    <w:uiPriority w:val="0"/>
    <w:rPr>
      <w:rFonts w:ascii="Tahoma" w:hAnsi="Tahoma"/>
      <w:sz w:val="24"/>
      <w:szCs w:val="20"/>
    </w:rPr>
  </w:style>
  <w:style w:type="paragraph" w:customStyle="1" w:styleId="7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72">
    <w:name w:val="CM11"/>
    <w:basedOn w:val="73"/>
    <w:next w:val="73"/>
    <w:unhideWhenUsed/>
    <w:qFormat/>
    <w:uiPriority w:val="99"/>
    <w:pPr>
      <w:spacing w:line="520" w:lineRule="atLeast"/>
    </w:pPr>
    <w:rPr>
      <w:rFonts w:hint="default"/>
    </w:rPr>
  </w:style>
  <w:style w:type="paragraph" w:customStyle="1" w:styleId="73">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customStyle="1" w:styleId="74">
    <w:name w:val="Char Char Char Char"/>
    <w:basedOn w:val="1"/>
    <w:qFormat/>
    <w:uiPriority w:val="0"/>
    <w:pPr>
      <w:spacing w:line="360" w:lineRule="auto"/>
      <w:ind w:firstLine="200" w:firstLineChars="200"/>
    </w:pPr>
    <w:rPr>
      <w:rFonts w:ascii="宋体" w:hAnsi="宋体" w:cs="宋体"/>
      <w:sz w:val="24"/>
    </w:rPr>
  </w:style>
  <w:style w:type="paragraph" w:customStyle="1" w:styleId="75">
    <w:name w:val="CM14"/>
    <w:basedOn w:val="73"/>
    <w:next w:val="73"/>
    <w:unhideWhenUsed/>
    <w:qFormat/>
    <w:uiPriority w:val="99"/>
    <w:pPr>
      <w:spacing w:line="546" w:lineRule="atLeast"/>
    </w:pPr>
    <w:rPr>
      <w:rFonts w:hint="default"/>
    </w:rPr>
  </w:style>
  <w:style w:type="paragraph" w:customStyle="1" w:styleId="76">
    <w:name w:val=" Char Char2 Char Char"/>
    <w:basedOn w:val="1"/>
    <w:qFormat/>
    <w:uiPriority w:val="0"/>
    <w:pPr>
      <w:adjustRightInd w:val="0"/>
      <w:spacing w:line="360" w:lineRule="auto"/>
    </w:pPr>
    <w:rPr>
      <w:kern w:val="0"/>
      <w:sz w:val="24"/>
      <w:szCs w:val="20"/>
    </w:rPr>
  </w:style>
  <w:style w:type="paragraph" w:customStyle="1" w:styleId="77">
    <w:name w:val="标题 5（有编号）（绿盟科技）"/>
    <w:basedOn w:val="1"/>
    <w:next w:val="71"/>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78">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 Char Char Char"/>
    <w:basedOn w:val="1"/>
    <w:qFormat/>
    <w:uiPriority w:val="0"/>
    <w:rPr>
      <w:szCs w:val="20"/>
    </w:rPr>
  </w:style>
  <w:style w:type="paragraph" w:customStyle="1" w:styleId="80">
    <w:name w:val="楷体粗正文文字"/>
    <w:basedOn w:val="1"/>
    <w:next w:val="30"/>
    <w:qFormat/>
    <w:uiPriority w:val="0"/>
    <w:pPr>
      <w:snapToGrid w:val="0"/>
      <w:spacing w:line="480" w:lineRule="exact"/>
      <w:ind w:firstLine="560"/>
    </w:pPr>
    <w:rPr>
      <w:sz w:val="28"/>
      <w:szCs w:val="20"/>
    </w:rPr>
  </w:style>
  <w:style w:type="paragraph" w:customStyle="1" w:styleId="8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
    <w:name w:val="目录文字"/>
    <w:basedOn w:val="1"/>
    <w:qFormat/>
    <w:uiPriority w:val="0"/>
    <w:pPr>
      <w:widowControl/>
      <w:spacing w:line="480" w:lineRule="auto"/>
      <w:jc w:val="left"/>
    </w:pPr>
    <w:rPr>
      <w:rFonts w:ascii="宋体" w:hAnsi="宋体"/>
      <w:kern w:val="0"/>
      <w:sz w:val="24"/>
      <w:szCs w:val="20"/>
    </w:rPr>
  </w:style>
  <w:style w:type="paragraph" w:customStyle="1" w:styleId="83">
    <w:name w:val="Table Paragraph"/>
    <w:basedOn w:val="1"/>
    <w:qFormat/>
    <w:uiPriority w:val="1"/>
  </w:style>
  <w:style w:type="paragraph" w:customStyle="1" w:styleId="84">
    <w:name w:val="列出段落1_0"/>
    <w:basedOn w:val="3"/>
    <w:qFormat/>
    <w:uiPriority w:val="99"/>
    <w:pPr>
      <w:ind w:firstLine="420" w:firstLineChars="200"/>
    </w:pPr>
  </w:style>
  <w:style w:type="paragraph" w:customStyle="1" w:styleId="85">
    <w:name w:val="Table Text"/>
    <w:basedOn w:val="1"/>
    <w:semiHidden/>
    <w:qFormat/>
    <w:uiPriority w:val="0"/>
    <w:rPr>
      <w:rFonts w:ascii="宋体" w:hAnsi="宋体" w:eastAsia="宋体" w:cs="宋体"/>
      <w:sz w:val="20"/>
      <w:szCs w:val="20"/>
      <w:lang w:val="en-US" w:eastAsia="en-US" w:bidi="ar-SA"/>
    </w:rPr>
  </w:style>
  <w:style w:type="table" w:customStyle="1" w:styleId="8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CCTC</Company>
  <Pages>73</Pages>
  <Words>6895</Words>
  <Characters>7753</Characters>
  <Lines>260</Lines>
  <Paragraphs>73</Paragraphs>
  <TotalTime>0</TotalTime>
  <ScaleCrop>false</ScaleCrop>
  <LinksUpToDate>false</LinksUpToDate>
  <CharactersWithSpaces>7836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2017-01-06T07:29:00Z</dcterms:created>
  <dc:creator>Eagle</dc:creator>
  <cp:lastModifiedBy>zxx</cp:lastModifiedBy>
  <cp:lastPrinted>2025-06-19T04:08:00Z</cp:lastPrinted>
  <dcterms:modified xsi:type="dcterms:W3CDTF">2025-07-06T23:11:23Z</dcterms:modified>
  <dc:title>附件二：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9BEBC3A85F47440F9338A9ED78C63BD7_13</vt:lpwstr>
  </property>
  <property fmtid="{D5CDD505-2E9C-101B-9397-08002B2CF9AE}" pid="4" name="KSOTemplateDocerSaveRecord">
    <vt:lpwstr>eyJoZGlkIjoiYTc2ZGZiNzZiNDVlOGViOWVmM2JhOTY0NGJkNjUyYzgifQ==</vt:lpwstr>
  </property>
</Properties>
</file>