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BDDD2">
      <w:pPr>
        <w:pStyle w:val="42"/>
        <w:ind w:left="0" w:leftChars="0" w:firstLine="0" w:firstLineChars="0"/>
        <w:jc w:val="both"/>
        <w:rPr>
          <w:rFonts w:ascii="宋体" w:hAnsi="宋体" w:eastAsia="宋体" w:cs="宋体"/>
          <w:b/>
          <w:color w:val="auto"/>
          <w:sz w:val="48"/>
          <w:szCs w:val="48"/>
          <w:highlight w:val="none"/>
        </w:rPr>
      </w:pPr>
      <w:bookmarkStart w:id="0" w:name="_Toc98580390"/>
    </w:p>
    <w:p w14:paraId="14F79029">
      <w:pPr>
        <w:spacing w:before="272" w:beforeLines="100" w:line="360" w:lineRule="auto"/>
        <w:jc w:val="center"/>
        <w:rPr>
          <w:rFonts w:hint="eastAsia" w:ascii="宋体" w:hAnsi="宋体" w:eastAsia="宋体" w:cs="宋体"/>
          <w:b/>
          <w:color w:val="auto"/>
          <w:sz w:val="60"/>
          <w:szCs w:val="60"/>
          <w:highlight w:val="none"/>
        </w:rPr>
      </w:pPr>
      <w:r>
        <w:rPr>
          <w:rFonts w:hint="eastAsia" w:ascii="宋体" w:hAnsi="宋体" w:eastAsia="宋体" w:cs="宋体"/>
          <w:b/>
          <w:color w:val="auto"/>
          <w:sz w:val="60"/>
          <w:szCs w:val="60"/>
          <w:highlight w:val="none"/>
        </w:rPr>
        <w:t>吉林艺术学院繁荣校区食堂厨房和餐厅设备项目</w:t>
      </w:r>
    </w:p>
    <w:p w14:paraId="49A6B7CF">
      <w:pPr>
        <w:spacing w:before="272" w:beforeLines="100" w:line="360" w:lineRule="auto"/>
        <w:jc w:val="center"/>
        <w:rPr>
          <w:rFonts w:hint="eastAsia" w:ascii="宋体" w:hAnsi="宋体" w:eastAsia="宋体" w:cs="宋体"/>
          <w:b/>
          <w:color w:val="auto"/>
          <w:sz w:val="80"/>
          <w:szCs w:val="80"/>
          <w:highlight w:val="none"/>
        </w:rPr>
      </w:pPr>
    </w:p>
    <w:p w14:paraId="4C3414E4">
      <w:pPr>
        <w:spacing w:before="272" w:beforeLines="100" w:line="360" w:lineRule="auto"/>
        <w:jc w:val="center"/>
        <w:rPr>
          <w:rFonts w:hint="eastAsia" w:ascii="宋体" w:hAnsi="宋体" w:eastAsia="宋体" w:cs="宋体"/>
          <w:b/>
          <w:color w:val="auto"/>
          <w:sz w:val="80"/>
          <w:szCs w:val="80"/>
          <w:highlight w:val="none"/>
        </w:rPr>
      </w:pPr>
      <w:r>
        <w:rPr>
          <w:rFonts w:hint="eastAsia" w:ascii="宋体" w:hAnsi="宋体" w:eastAsia="宋体" w:cs="宋体"/>
          <w:b/>
          <w:color w:val="auto"/>
          <w:sz w:val="80"/>
          <w:szCs w:val="80"/>
          <w:highlight w:val="none"/>
        </w:rPr>
        <w:t>招 标 文 件</w:t>
      </w:r>
    </w:p>
    <w:p w14:paraId="390883A0">
      <w:pPr>
        <w:spacing w:before="272" w:beforeLines="100"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项目</w:t>
      </w:r>
      <w:r>
        <w:rPr>
          <w:rFonts w:hint="eastAsia" w:ascii="宋体" w:hAnsi="宋体" w:eastAsia="宋体" w:cs="宋体"/>
          <w:b/>
          <w:bCs/>
          <w:color w:val="auto"/>
          <w:sz w:val="32"/>
          <w:szCs w:val="32"/>
          <w:highlight w:val="none"/>
        </w:rPr>
        <w:t>编号：采购计划-[2025]-08792号-JLZG-20250625</w:t>
      </w:r>
    </w:p>
    <w:p w14:paraId="7183D390">
      <w:pPr>
        <w:adjustRightInd w:val="0"/>
        <w:spacing w:line="360" w:lineRule="auto"/>
        <w:jc w:val="center"/>
        <w:rPr>
          <w:rFonts w:hint="eastAsia" w:ascii="宋体" w:hAnsi="宋体" w:eastAsia="宋体" w:cs="宋体"/>
          <w:color w:val="auto"/>
          <w:sz w:val="24"/>
          <w:szCs w:val="24"/>
          <w:highlight w:val="none"/>
        </w:rPr>
      </w:pPr>
    </w:p>
    <w:p w14:paraId="6477543C">
      <w:pPr>
        <w:adjustRightInd w:val="0"/>
        <w:spacing w:line="360" w:lineRule="auto"/>
        <w:rPr>
          <w:rFonts w:hint="eastAsia" w:ascii="宋体" w:hAnsi="宋体" w:eastAsia="宋体" w:cs="宋体"/>
          <w:color w:val="auto"/>
          <w:sz w:val="24"/>
          <w:szCs w:val="24"/>
          <w:highlight w:val="none"/>
          <w:lang w:val="zh-CN"/>
        </w:rPr>
      </w:pPr>
    </w:p>
    <w:p w14:paraId="1F7412E9">
      <w:pPr>
        <w:adjustRightInd w:val="0"/>
        <w:spacing w:line="360" w:lineRule="auto"/>
        <w:rPr>
          <w:rFonts w:hint="eastAsia" w:ascii="宋体" w:hAnsi="宋体" w:eastAsia="宋体" w:cs="宋体"/>
          <w:color w:val="auto"/>
          <w:sz w:val="24"/>
          <w:szCs w:val="24"/>
          <w:highlight w:val="none"/>
          <w:lang w:val="zh-CN"/>
        </w:rPr>
      </w:pPr>
    </w:p>
    <w:p w14:paraId="11B629DA">
      <w:pPr>
        <w:adjustRightInd w:val="0"/>
        <w:spacing w:line="360" w:lineRule="auto"/>
        <w:rPr>
          <w:rFonts w:hint="eastAsia" w:ascii="宋体" w:hAnsi="宋体" w:eastAsia="宋体" w:cs="宋体"/>
          <w:color w:val="auto"/>
          <w:sz w:val="24"/>
          <w:szCs w:val="24"/>
          <w:highlight w:val="none"/>
          <w:lang w:val="zh-CN"/>
        </w:rPr>
      </w:pPr>
    </w:p>
    <w:p w14:paraId="37FF6749">
      <w:pPr>
        <w:adjustRightInd w:val="0"/>
        <w:spacing w:line="360" w:lineRule="auto"/>
        <w:rPr>
          <w:rFonts w:hint="eastAsia" w:ascii="宋体" w:hAnsi="宋体" w:eastAsia="宋体" w:cs="宋体"/>
          <w:color w:val="auto"/>
          <w:sz w:val="24"/>
          <w:szCs w:val="24"/>
          <w:highlight w:val="none"/>
          <w:lang w:val="zh-CN"/>
        </w:rPr>
      </w:pPr>
    </w:p>
    <w:p w14:paraId="158060A7">
      <w:pPr>
        <w:adjustRightInd w:val="0"/>
        <w:spacing w:line="360" w:lineRule="auto"/>
        <w:jc w:val="left"/>
        <w:rPr>
          <w:rFonts w:hint="eastAsia" w:ascii="宋体" w:hAnsi="宋体" w:eastAsia="宋体" w:cs="宋体"/>
          <w:color w:val="auto"/>
          <w:sz w:val="24"/>
          <w:szCs w:val="24"/>
          <w:highlight w:val="none"/>
          <w:lang w:val="zh-CN"/>
        </w:rPr>
      </w:pPr>
    </w:p>
    <w:p w14:paraId="064ED9DE">
      <w:pPr>
        <w:spacing w:after="272" w:afterLines="100" w:line="500" w:lineRule="exact"/>
        <w:ind w:firstLine="1102" w:firstLineChars="343"/>
        <w:jc w:val="left"/>
        <w:rPr>
          <w:rFonts w:hint="eastAsia" w:ascii="宋体" w:hAnsi="宋体" w:eastAsia="宋体" w:cs="宋体"/>
          <w:b/>
          <w:bCs/>
          <w:color w:val="auto"/>
          <w:sz w:val="32"/>
          <w:szCs w:val="32"/>
          <w:highlight w:val="none"/>
          <w:lang w:eastAsia="zh-CN"/>
        </w:rPr>
      </w:pPr>
    </w:p>
    <w:p w14:paraId="3893411A">
      <w:pPr>
        <w:spacing w:after="272" w:afterLines="100" w:line="500" w:lineRule="exact"/>
        <w:ind w:firstLine="1102" w:firstLineChars="343"/>
        <w:jc w:val="left"/>
        <w:rPr>
          <w:rFonts w:hint="eastAsia" w:ascii="宋体" w:hAnsi="宋体" w:eastAsia="宋体" w:cs="宋体"/>
          <w:b/>
          <w:bCs/>
          <w:color w:val="auto"/>
          <w:spacing w:val="-8"/>
          <w:sz w:val="32"/>
          <w:szCs w:val="32"/>
          <w:highlight w:val="none"/>
          <w:lang w:eastAsia="zh-CN"/>
        </w:rPr>
      </w:pPr>
      <w:r>
        <w:rPr>
          <w:rFonts w:hint="eastAsia" w:ascii="宋体" w:hAnsi="宋体" w:eastAsia="宋体" w:cs="宋体"/>
          <w:b/>
          <w:bCs/>
          <w:color w:val="auto"/>
          <w:sz w:val="32"/>
          <w:szCs w:val="32"/>
          <w:highlight w:val="none"/>
          <w:lang w:eastAsia="zh-CN"/>
        </w:rPr>
        <w:t>采购人</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吉林艺术学院</w:t>
      </w:r>
    </w:p>
    <w:p w14:paraId="70E012AC">
      <w:pPr>
        <w:spacing w:after="272" w:afterLines="100" w:line="500" w:lineRule="exact"/>
        <w:ind w:firstLine="1102" w:firstLineChars="343"/>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采购</w:t>
      </w:r>
      <w:r>
        <w:rPr>
          <w:rFonts w:hint="eastAsia" w:ascii="宋体" w:hAnsi="宋体" w:eastAsia="宋体" w:cs="宋体"/>
          <w:b/>
          <w:bCs/>
          <w:color w:val="auto"/>
          <w:sz w:val="32"/>
          <w:szCs w:val="32"/>
          <w:highlight w:val="none"/>
        </w:rPr>
        <w:t>代理机构：</w:t>
      </w:r>
      <w:r>
        <w:rPr>
          <w:rFonts w:hint="eastAsia" w:ascii="宋体" w:hAnsi="宋体" w:cs="宋体"/>
          <w:b/>
          <w:bCs/>
          <w:color w:val="auto"/>
          <w:spacing w:val="-8"/>
          <w:sz w:val="32"/>
          <w:szCs w:val="32"/>
          <w:highlight w:val="none"/>
          <w:lang w:eastAsia="zh-CN"/>
        </w:rPr>
        <w:t>吉林省智广工程项目管理有限公司</w:t>
      </w:r>
    </w:p>
    <w:p w14:paraId="0C726A02">
      <w:pPr>
        <w:spacing w:after="272" w:afterLines="100" w:line="500" w:lineRule="exact"/>
        <w:ind w:firstLine="1102" w:firstLineChars="343"/>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日期：</w:t>
      </w:r>
      <w:r>
        <w:rPr>
          <w:rFonts w:hint="eastAsia" w:ascii="宋体" w:hAnsi="宋体" w:eastAsia="宋体" w:cs="宋体"/>
          <w:b/>
          <w:bCs/>
          <w:color w:val="auto"/>
          <w:sz w:val="32"/>
          <w:szCs w:val="32"/>
          <w:highlight w:val="none"/>
          <w:lang w:val="en-US" w:eastAsia="zh-CN"/>
        </w:rPr>
        <w:t>2025年</w:t>
      </w:r>
      <w:r>
        <w:rPr>
          <w:rFonts w:hint="eastAsia" w:ascii="宋体" w:hAnsi="宋体" w:cs="宋体"/>
          <w:b/>
          <w:bCs/>
          <w:color w:val="auto"/>
          <w:sz w:val="32"/>
          <w:szCs w:val="32"/>
          <w:highlight w:val="none"/>
          <w:lang w:val="en-US" w:eastAsia="zh-CN"/>
        </w:rPr>
        <w:t>7</w:t>
      </w:r>
      <w:r>
        <w:rPr>
          <w:rFonts w:hint="eastAsia" w:ascii="宋体" w:hAnsi="宋体" w:eastAsia="宋体" w:cs="宋体"/>
          <w:b/>
          <w:bCs/>
          <w:color w:val="auto"/>
          <w:sz w:val="32"/>
          <w:szCs w:val="32"/>
          <w:highlight w:val="none"/>
          <w:lang w:val="en-US" w:eastAsia="zh-CN"/>
        </w:rPr>
        <w:t>月</w:t>
      </w:r>
    </w:p>
    <w:p w14:paraId="25577262">
      <w:pPr>
        <w:jc w:val="center"/>
        <w:rPr>
          <w:rFonts w:ascii="宋体" w:hAnsi="宋体" w:cs="宋体"/>
          <w:color w:val="auto"/>
          <w:sz w:val="18"/>
          <w:szCs w:val="18"/>
          <w:highlight w:val="none"/>
        </w:rPr>
      </w:pPr>
    </w:p>
    <w:p w14:paraId="22C9D1B6">
      <w:pPr>
        <w:spacing w:line="360" w:lineRule="auto"/>
        <w:jc w:val="center"/>
        <w:rPr>
          <w:rFonts w:hint="eastAsia" w:ascii="宋体" w:hAnsi="宋体" w:cs="宋体"/>
          <w:b/>
          <w:bCs/>
          <w:color w:val="auto"/>
          <w:sz w:val="36"/>
          <w:highlight w:val="none"/>
        </w:rPr>
        <w:sectPr>
          <w:headerReference r:id="rId4" w:type="first"/>
          <w:headerReference r:id="rId3" w:type="default"/>
          <w:footerReference r:id="rId5" w:type="even"/>
          <w:pgSz w:w="11906" w:h="16838"/>
          <w:pgMar w:top="1418" w:right="1247" w:bottom="1418" w:left="1418" w:header="851" w:footer="992" w:gutter="0"/>
          <w:cols w:space="720" w:num="1"/>
          <w:titlePg/>
          <w:docGrid w:linePitch="312" w:charSpace="0"/>
        </w:sectPr>
      </w:pPr>
      <w:bookmarkStart w:id="1" w:name="_Toc98580389"/>
    </w:p>
    <w:p w14:paraId="35551B8B">
      <w:pPr>
        <w:spacing w:line="360" w:lineRule="auto"/>
        <w:jc w:val="center"/>
        <w:rPr>
          <w:rFonts w:hint="eastAsia" w:ascii="宋体" w:hAnsi="宋体" w:cs="宋体"/>
          <w:b/>
          <w:bCs/>
          <w:color w:val="auto"/>
          <w:sz w:val="36"/>
          <w:highlight w:val="none"/>
        </w:rPr>
      </w:pPr>
    </w:p>
    <w:p w14:paraId="0D126024">
      <w:pPr>
        <w:spacing w:line="360" w:lineRule="auto"/>
        <w:jc w:val="center"/>
        <w:rPr>
          <w:rFonts w:hint="eastAsia" w:ascii="宋体" w:hAnsi="宋体" w:cs="宋体"/>
          <w:b/>
          <w:bCs/>
          <w:color w:val="auto"/>
          <w:sz w:val="36"/>
          <w:highlight w:val="none"/>
        </w:rPr>
      </w:pPr>
    </w:p>
    <w:p w14:paraId="70EFDE39">
      <w:pPr>
        <w:spacing w:line="360" w:lineRule="auto"/>
        <w:jc w:val="center"/>
        <w:rPr>
          <w:rFonts w:ascii="宋体" w:hAnsi="宋体" w:cs="宋体"/>
          <w:b/>
          <w:bCs/>
          <w:color w:val="auto"/>
          <w:sz w:val="36"/>
          <w:highlight w:val="none"/>
        </w:rPr>
      </w:pPr>
      <w:r>
        <w:rPr>
          <w:rFonts w:hint="eastAsia" w:ascii="宋体" w:hAnsi="宋体" w:cs="宋体"/>
          <w:b/>
          <w:bCs/>
          <w:color w:val="auto"/>
          <w:sz w:val="36"/>
          <w:highlight w:val="none"/>
        </w:rPr>
        <w:t>目　录</w:t>
      </w:r>
    </w:p>
    <w:p w14:paraId="59EAF3CA">
      <w:pPr>
        <w:jc w:val="center"/>
        <w:rPr>
          <w:rFonts w:ascii="宋体" w:hAnsi="宋体" w:cs="宋体"/>
          <w:b/>
          <w:bCs/>
          <w:color w:val="auto"/>
          <w:sz w:val="36"/>
          <w:highlight w:val="none"/>
        </w:rPr>
      </w:pPr>
    </w:p>
    <w:p w14:paraId="3D23882F">
      <w:pPr>
        <w:pStyle w:val="29"/>
        <w:tabs>
          <w:tab w:val="right" w:leader="dot" w:pos="9241"/>
        </w:tabs>
        <w:spacing w:line="480" w:lineRule="auto"/>
        <w:rPr>
          <w:color w:val="auto"/>
          <w:sz w:val="28"/>
          <w:szCs w:val="28"/>
          <w:highlight w:val="none"/>
        </w:rPr>
      </w:pPr>
      <w:r>
        <w:rPr>
          <w:rFonts w:hint="eastAsia" w:ascii="宋体" w:hAnsi="宋体" w:cs="宋体"/>
          <w:color w:val="auto"/>
          <w:sz w:val="44"/>
          <w:szCs w:val="44"/>
          <w:highlight w:val="none"/>
        </w:rPr>
        <w:fldChar w:fldCharType="begin"/>
      </w:r>
      <w:r>
        <w:rPr>
          <w:rFonts w:hint="eastAsia" w:ascii="宋体" w:hAnsi="宋体" w:cs="宋体"/>
          <w:color w:val="auto"/>
          <w:sz w:val="44"/>
          <w:szCs w:val="44"/>
          <w:highlight w:val="none"/>
        </w:rPr>
        <w:instrText xml:space="preserve"> TOC \o "1-1" \h \z \u </w:instrText>
      </w:r>
      <w:r>
        <w:rPr>
          <w:rFonts w:hint="eastAsia" w:ascii="宋体" w:hAnsi="宋体" w:cs="宋体"/>
          <w:color w:val="auto"/>
          <w:sz w:val="44"/>
          <w:szCs w:val="44"/>
          <w:highlight w:val="none"/>
        </w:rPr>
        <w:fldChar w:fldCharType="separate"/>
      </w:r>
      <w:r>
        <w:rPr>
          <w:color w:val="auto"/>
          <w:sz w:val="21"/>
          <w:szCs w:val="21"/>
          <w:highlight w:val="none"/>
        </w:rPr>
        <w:fldChar w:fldCharType="begin"/>
      </w:r>
      <w:r>
        <w:rPr>
          <w:color w:val="auto"/>
          <w:sz w:val="21"/>
          <w:szCs w:val="21"/>
          <w:highlight w:val="none"/>
        </w:rPr>
        <w:instrText xml:space="preserve"> HYPERLINK \l "_Toc1236" </w:instrText>
      </w:r>
      <w:r>
        <w:rPr>
          <w:color w:val="auto"/>
          <w:sz w:val="21"/>
          <w:szCs w:val="21"/>
          <w:highlight w:val="none"/>
        </w:rPr>
        <w:fldChar w:fldCharType="separate"/>
      </w:r>
      <w:r>
        <w:rPr>
          <w:rFonts w:hint="eastAsia" w:ascii="宋体" w:hAnsi="宋体" w:cs="宋体"/>
          <w:color w:val="auto"/>
          <w:sz w:val="28"/>
          <w:szCs w:val="52"/>
          <w:highlight w:val="none"/>
        </w:rPr>
        <w:t>第一部分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_Toc1236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14:paraId="51614D69">
      <w:pPr>
        <w:pStyle w:val="29"/>
        <w:tabs>
          <w:tab w:val="right" w:leader="dot" w:pos="9241"/>
        </w:tabs>
        <w:spacing w:line="480" w:lineRule="auto"/>
        <w:rPr>
          <w:color w:val="auto"/>
          <w:sz w:val="28"/>
          <w:szCs w:val="28"/>
          <w:highlight w:val="none"/>
        </w:rPr>
      </w:pPr>
      <w:r>
        <w:rPr>
          <w:color w:val="auto"/>
          <w:sz w:val="21"/>
          <w:szCs w:val="21"/>
          <w:highlight w:val="none"/>
        </w:rPr>
        <w:fldChar w:fldCharType="begin"/>
      </w:r>
      <w:r>
        <w:rPr>
          <w:color w:val="auto"/>
          <w:sz w:val="21"/>
          <w:szCs w:val="21"/>
          <w:highlight w:val="none"/>
        </w:rPr>
        <w:instrText xml:space="preserve"> HYPERLINK \l "_Toc4759" </w:instrText>
      </w:r>
      <w:r>
        <w:rPr>
          <w:color w:val="auto"/>
          <w:sz w:val="21"/>
          <w:szCs w:val="21"/>
          <w:highlight w:val="none"/>
        </w:rPr>
        <w:fldChar w:fldCharType="separate"/>
      </w:r>
      <w:r>
        <w:rPr>
          <w:rFonts w:hint="eastAsia" w:ascii="宋体" w:hAnsi="宋体" w:cs="宋体"/>
          <w:color w:val="auto"/>
          <w:sz w:val="28"/>
          <w:szCs w:val="52"/>
          <w:highlight w:val="none"/>
        </w:rPr>
        <w:t>第二部分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_Toc4759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14:paraId="4EB69332">
      <w:pPr>
        <w:pStyle w:val="29"/>
        <w:tabs>
          <w:tab w:val="right" w:leader="dot" w:pos="9241"/>
        </w:tabs>
        <w:spacing w:line="480" w:lineRule="auto"/>
        <w:rPr>
          <w:color w:val="auto"/>
          <w:sz w:val="28"/>
          <w:szCs w:val="28"/>
          <w:highlight w:val="none"/>
        </w:rPr>
      </w:pPr>
      <w:r>
        <w:rPr>
          <w:color w:val="auto"/>
          <w:sz w:val="21"/>
          <w:szCs w:val="21"/>
          <w:highlight w:val="none"/>
        </w:rPr>
        <w:fldChar w:fldCharType="begin"/>
      </w:r>
      <w:r>
        <w:rPr>
          <w:color w:val="auto"/>
          <w:sz w:val="21"/>
          <w:szCs w:val="21"/>
          <w:highlight w:val="none"/>
        </w:rPr>
        <w:instrText xml:space="preserve"> HYPERLINK \l "_Toc32763" </w:instrText>
      </w:r>
      <w:r>
        <w:rPr>
          <w:color w:val="auto"/>
          <w:sz w:val="21"/>
          <w:szCs w:val="21"/>
          <w:highlight w:val="none"/>
        </w:rPr>
        <w:fldChar w:fldCharType="separate"/>
      </w:r>
      <w:r>
        <w:rPr>
          <w:rFonts w:hint="eastAsia" w:ascii="宋体" w:hAnsi="宋体" w:cs="宋体"/>
          <w:color w:val="auto"/>
          <w:sz w:val="28"/>
          <w:szCs w:val="28"/>
          <w:highlight w:val="none"/>
        </w:rPr>
        <w:t>第三部分  评标办法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_Toc32763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color w:val="auto"/>
          <w:sz w:val="28"/>
          <w:szCs w:val="28"/>
          <w:highlight w:val="none"/>
        </w:rPr>
        <w:fldChar w:fldCharType="end"/>
      </w:r>
    </w:p>
    <w:p w14:paraId="12A0A1E0">
      <w:pPr>
        <w:pStyle w:val="29"/>
        <w:tabs>
          <w:tab w:val="right" w:leader="dot" w:pos="9241"/>
        </w:tabs>
        <w:spacing w:line="480" w:lineRule="auto"/>
        <w:rPr>
          <w:color w:val="auto"/>
          <w:sz w:val="28"/>
          <w:szCs w:val="28"/>
          <w:highlight w:val="none"/>
        </w:rPr>
      </w:pPr>
      <w:r>
        <w:rPr>
          <w:color w:val="auto"/>
          <w:sz w:val="21"/>
          <w:szCs w:val="21"/>
          <w:highlight w:val="none"/>
        </w:rPr>
        <w:fldChar w:fldCharType="begin"/>
      </w:r>
      <w:r>
        <w:rPr>
          <w:color w:val="auto"/>
          <w:sz w:val="21"/>
          <w:szCs w:val="21"/>
          <w:highlight w:val="none"/>
        </w:rPr>
        <w:instrText xml:space="preserve"> HYPERLINK \l "_Toc11835" </w:instrText>
      </w:r>
      <w:r>
        <w:rPr>
          <w:color w:val="auto"/>
          <w:sz w:val="21"/>
          <w:szCs w:val="21"/>
          <w:highlight w:val="none"/>
        </w:rPr>
        <w:fldChar w:fldCharType="separate"/>
      </w:r>
      <w:r>
        <w:rPr>
          <w:rFonts w:hint="eastAsia" w:ascii="宋体" w:hAnsi="宋体" w:cs="宋体"/>
          <w:color w:val="auto"/>
          <w:sz w:val="28"/>
          <w:szCs w:val="52"/>
          <w:highlight w:val="none"/>
        </w:rPr>
        <w:t xml:space="preserve">第四部分 </w:t>
      </w:r>
      <w:r>
        <w:rPr>
          <w:rFonts w:hint="eastAsia" w:ascii="宋体" w:hAnsi="宋体" w:cs="宋体"/>
          <w:color w:val="auto"/>
          <w:sz w:val="28"/>
          <w:szCs w:val="52"/>
          <w:highlight w:val="none"/>
          <w:lang w:val="en-US" w:eastAsia="zh-CN"/>
        </w:rPr>
        <w:t xml:space="preserve"> </w:t>
      </w:r>
      <w:r>
        <w:rPr>
          <w:rFonts w:hint="eastAsia" w:ascii="宋体" w:hAnsi="宋体" w:cs="宋体"/>
          <w:color w:val="auto"/>
          <w:sz w:val="28"/>
          <w:szCs w:val="52"/>
          <w:highlight w:val="none"/>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_Toc11835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color w:val="auto"/>
          <w:sz w:val="28"/>
          <w:szCs w:val="28"/>
          <w:highlight w:val="none"/>
        </w:rPr>
        <w:fldChar w:fldCharType="end"/>
      </w:r>
    </w:p>
    <w:p w14:paraId="698B3E17">
      <w:pPr>
        <w:pStyle w:val="29"/>
        <w:tabs>
          <w:tab w:val="right" w:leader="dot" w:pos="9241"/>
        </w:tabs>
        <w:spacing w:line="480" w:lineRule="auto"/>
        <w:rPr>
          <w:rFonts w:hint="eastAsia" w:eastAsia="宋体"/>
          <w:color w:val="auto"/>
          <w:sz w:val="28"/>
          <w:szCs w:val="28"/>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"_Toc20708" </w:instrText>
      </w:r>
      <w:r>
        <w:rPr>
          <w:color w:val="auto"/>
          <w:sz w:val="21"/>
          <w:szCs w:val="21"/>
          <w:highlight w:val="none"/>
        </w:rPr>
        <w:fldChar w:fldCharType="separate"/>
      </w:r>
      <w:r>
        <w:rPr>
          <w:rFonts w:hint="eastAsia" w:ascii="宋体" w:hAnsi="宋体" w:cs="宋体"/>
          <w:color w:val="auto"/>
          <w:sz w:val="28"/>
          <w:szCs w:val="52"/>
          <w:highlight w:val="none"/>
        </w:rPr>
        <w:t>第五部分  合同格式</w:t>
      </w:r>
      <w:r>
        <w:rPr>
          <w:color w:val="auto"/>
          <w:sz w:val="28"/>
          <w:szCs w:val="28"/>
          <w:highlight w:val="none"/>
        </w:rPr>
        <w:tab/>
      </w:r>
      <w:r>
        <w:rPr>
          <w:rFonts w:hint="eastAsia"/>
          <w:color w:val="auto"/>
          <w:sz w:val="28"/>
          <w:szCs w:val="28"/>
          <w:highlight w:val="none"/>
          <w:lang w:val="en-US" w:eastAsia="zh-CN"/>
        </w:rPr>
        <w:t>5</w:t>
      </w:r>
      <w:r>
        <w:rPr>
          <w:color w:val="auto"/>
          <w:sz w:val="28"/>
          <w:szCs w:val="28"/>
          <w:highlight w:val="none"/>
        </w:rPr>
        <w:fldChar w:fldCharType="end"/>
      </w:r>
      <w:r>
        <w:rPr>
          <w:rFonts w:hint="eastAsia"/>
          <w:color w:val="auto"/>
          <w:sz w:val="28"/>
          <w:szCs w:val="28"/>
          <w:highlight w:val="none"/>
          <w:lang w:val="en-US" w:eastAsia="zh-CN"/>
        </w:rPr>
        <w:t>0</w:t>
      </w:r>
    </w:p>
    <w:p w14:paraId="1A2B35A7">
      <w:pPr>
        <w:pStyle w:val="29"/>
        <w:tabs>
          <w:tab w:val="right" w:leader="dot" w:pos="9241"/>
        </w:tabs>
        <w:spacing w:line="480" w:lineRule="auto"/>
        <w:rPr>
          <w:color w:val="auto"/>
          <w:sz w:val="28"/>
          <w:szCs w:val="28"/>
          <w:highlight w:val="none"/>
        </w:rPr>
      </w:pPr>
      <w:r>
        <w:rPr>
          <w:color w:val="auto"/>
          <w:sz w:val="21"/>
          <w:szCs w:val="21"/>
          <w:highlight w:val="none"/>
        </w:rPr>
        <w:fldChar w:fldCharType="begin"/>
      </w:r>
      <w:r>
        <w:rPr>
          <w:color w:val="auto"/>
          <w:sz w:val="21"/>
          <w:szCs w:val="21"/>
          <w:highlight w:val="none"/>
        </w:rPr>
        <w:instrText xml:space="preserve"> HYPERLINK \l "_Toc28313" </w:instrText>
      </w:r>
      <w:r>
        <w:rPr>
          <w:color w:val="auto"/>
          <w:sz w:val="21"/>
          <w:szCs w:val="21"/>
          <w:highlight w:val="none"/>
        </w:rPr>
        <w:fldChar w:fldCharType="separate"/>
      </w:r>
      <w:r>
        <w:rPr>
          <w:rFonts w:hint="eastAsia" w:ascii="宋体" w:hAnsi="宋体" w:cs="宋体"/>
          <w:color w:val="auto"/>
          <w:sz w:val="28"/>
          <w:szCs w:val="52"/>
          <w:highlight w:val="none"/>
        </w:rPr>
        <w:t>第六部分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_Toc28313 \h </w:instrText>
      </w:r>
      <w:r>
        <w:rPr>
          <w:color w:val="auto"/>
          <w:sz w:val="28"/>
          <w:szCs w:val="28"/>
          <w:highlight w:val="none"/>
        </w:rPr>
        <w:fldChar w:fldCharType="separate"/>
      </w:r>
      <w:r>
        <w:rPr>
          <w:color w:val="auto"/>
          <w:sz w:val="28"/>
          <w:szCs w:val="28"/>
          <w:highlight w:val="none"/>
        </w:rPr>
        <w:t>41</w:t>
      </w:r>
      <w:r>
        <w:rPr>
          <w:color w:val="auto"/>
          <w:sz w:val="28"/>
          <w:szCs w:val="28"/>
          <w:highlight w:val="none"/>
        </w:rPr>
        <w:fldChar w:fldCharType="end"/>
      </w:r>
      <w:r>
        <w:rPr>
          <w:color w:val="auto"/>
          <w:sz w:val="28"/>
          <w:szCs w:val="28"/>
          <w:highlight w:val="none"/>
        </w:rPr>
        <w:fldChar w:fldCharType="end"/>
      </w:r>
    </w:p>
    <w:p w14:paraId="75A30258">
      <w:pPr>
        <w:pStyle w:val="29"/>
        <w:tabs>
          <w:tab w:val="right" w:leader="dot" w:pos="9241"/>
        </w:tabs>
        <w:spacing w:line="480" w:lineRule="auto"/>
        <w:rPr>
          <w:rFonts w:ascii="宋体" w:hAnsi="宋体" w:cs="宋体"/>
          <w:color w:val="auto"/>
          <w:sz w:val="40"/>
          <w:szCs w:val="40"/>
          <w:highlight w:val="none"/>
        </w:rPr>
      </w:pPr>
      <w:r>
        <w:rPr>
          <w:rFonts w:hint="eastAsia" w:ascii="宋体" w:hAnsi="宋体" w:cs="宋体"/>
          <w:color w:val="auto"/>
          <w:sz w:val="28"/>
          <w:szCs w:val="44"/>
          <w:highlight w:val="none"/>
        </w:rPr>
        <w:fldChar w:fldCharType="end"/>
      </w:r>
    </w:p>
    <w:bookmarkEnd w:id="1"/>
    <w:p w14:paraId="40748094">
      <w:pPr>
        <w:rPr>
          <w:rFonts w:ascii="宋体" w:hAnsi="宋体" w:cs="宋体"/>
          <w:color w:val="auto"/>
          <w:highlight w:val="none"/>
        </w:rPr>
      </w:pPr>
      <w:r>
        <w:rPr>
          <w:rFonts w:hint="eastAsia" w:ascii="宋体" w:hAnsi="宋体" w:cs="宋体"/>
          <w:color w:val="auto"/>
          <w:highlight w:val="none"/>
        </w:rPr>
        <w:br w:type="page"/>
      </w:r>
    </w:p>
    <w:p w14:paraId="564CAE85">
      <w:pPr>
        <w:pStyle w:val="2"/>
        <w:spacing w:line="240" w:lineRule="auto"/>
        <w:jc w:val="center"/>
        <w:outlineLvl w:val="0"/>
        <w:rPr>
          <w:rFonts w:hint="eastAsia" w:ascii="宋体" w:hAnsi="宋体" w:eastAsia="宋体" w:cs="宋体"/>
          <w:b/>
          <w:bCs w:val="0"/>
          <w:color w:val="auto"/>
          <w:kern w:val="0"/>
          <w:sz w:val="36"/>
          <w:szCs w:val="36"/>
          <w:highlight w:val="none"/>
          <w:lang w:val="zh-CN"/>
        </w:rPr>
      </w:pPr>
      <w:bookmarkStart w:id="2" w:name="_Toc1236"/>
      <w:r>
        <w:rPr>
          <w:rFonts w:hint="eastAsia" w:ascii="宋体" w:hAnsi="宋体" w:cs="宋体"/>
          <w:color w:val="auto"/>
          <w:sz w:val="36"/>
          <w:szCs w:val="36"/>
          <w:highlight w:val="none"/>
        </w:rPr>
        <w:t>第一部分  招标公告</w:t>
      </w:r>
      <w:bookmarkEnd w:id="2"/>
    </w:p>
    <w:p w14:paraId="2D0DB552">
      <w:pPr>
        <w:pBdr>
          <w:top w:val="single" w:color="000000" w:sz="4" w:space="1"/>
          <w:left w:val="single" w:color="000000" w:sz="4" w:space="4"/>
          <w:bottom w:val="single" w:color="000000" w:sz="4" w:space="1"/>
          <w:right w:val="single" w:color="000000" w:sz="4" w:space="4"/>
        </w:pBdr>
        <w:autoSpaceDE/>
        <w:autoSpaceDN/>
        <w:ind w:firstLine="480" w:firstLineChars="200"/>
        <w:rPr>
          <w:rFonts w:ascii="宋体" w:hAnsi="宋体"/>
          <w:color w:val="auto"/>
          <w:sz w:val="24"/>
          <w:szCs w:val="24"/>
          <w:highlight w:val="none"/>
        </w:rPr>
      </w:pPr>
      <w:r>
        <w:rPr>
          <w:rFonts w:hint="eastAsia" w:ascii="宋体" w:hAnsi="宋体"/>
          <w:color w:val="auto"/>
          <w:sz w:val="24"/>
          <w:szCs w:val="24"/>
          <w:highlight w:val="none"/>
        </w:rPr>
        <w:t>项目概况</w:t>
      </w:r>
    </w:p>
    <w:p w14:paraId="00DC6FCC">
      <w:pPr>
        <w:pBdr>
          <w:top w:val="single" w:color="000000" w:sz="4" w:space="1"/>
          <w:left w:val="single" w:color="000000" w:sz="4" w:space="4"/>
          <w:bottom w:val="single" w:color="000000" w:sz="4" w:space="1"/>
          <w:right w:val="single" w:color="000000" w:sz="4" w:space="4"/>
        </w:pBdr>
        <w:autoSpaceDE/>
        <w:autoSpaceDN/>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吉林艺术学院繁荣校区食堂厨房和餐厅设备项目的潜在供应商应在</w:t>
      </w:r>
      <w:r>
        <w:rPr>
          <w:rFonts w:hint="eastAsia" w:ascii="宋体" w:hAnsi="宋体"/>
          <w:color w:val="auto"/>
          <w:sz w:val="24"/>
          <w:szCs w:val="24"/>
          <w:highlight w:val="none"/>
          <w:lang w:eastAsia="zh-CN"/>
        </w:rPr>
        <w:t>“政采云”平台（网址：http://www.zcygov.cn）</w:t>
      </w: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HYPERLINK "http://www.ggzyjltn.cn:1015/TPBidder/memberLogin)获取采购文件，并于2020年11月10日14时0" </w:instrText>
      </w:r>
      <w:r>
        <w:rPr>
          <w:rFonts w:hint="eastAsia" w:ascii="宋体" w:hAnsi="宋体"/>
          <w:color w:val="auto"/>
          <w:sz w:val="24"/>
          <w:szCs w:val="24"/>
          <w:highlight w:val="none"/>
        </w:rPr>
        <w:fldChar w:fldCharType="separate"/>
      </w:r>
      <w:r>
        <w:rPr>
          <w:rFonts w:hint="eastAsia" w:ascii="宋体" w:hAnsi="宋体"/>
          <w:color w:val="auto"/>
          <w:sz w:val="24"/>
          <w:szCs w:val="24"/>
          <w:highlight w:val="none"/>
        </w:rPr>
        <w:t>获取招标文件，并于202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时</w:t>
      </w:r>
      <w:r>
        <w:rPr>
          <w:rFonts w:hint="eastAsia" w:ascii="宋体" w:hAnsi="宋体"/>
          <w:color w:val="auto"/>
          <w:sz w:val="24"/>
          <w:szCs w:val="24"/>
          <w:highlight w:val="none"/>
        </w:rPr>
        <w:fldChar w:fldCharType="end"/>
      </w:r>
      <w:r>
        <w:rPr>
          <w:rFonts w:hint="eastAsia" w:ascii="宋体" w:hAnsi="宋体"/>
          <w:color w:val="auto"/>
          <w:sz w:val="24"/>
          <w:szCs w:val="24"/>
          <w:highlight w:val="none"/>
          <w:lang w:val="en-US" w:eastAsia="zh-CN"/>
        </w:rPr>
        <w:t>00分</w:t>
      </w:r>
      <w:r>
        <w:rPr>
          <w:rFonts w:hint="eastAsia" w:ascii="宋体" w:hAnsi="宋体"/>
          <w:color w:val="auto"/>
          <w:sz w:val="24"/>
          <w:szCs w:val="24"/>
          <w:highlight w:val="none"/>
        </w:rPr>
        <w:t>(北京时间)前递交投标文件。</w:t>
      </w:r>
    </w:p>
    <w:p w14:paraId="2C691518">
      <w:pPr>
        <w:autoSpaceDE/>
        <w:autoSpaceDN/>
        <w:ind w:firstLine="482" w:firstLineChars="200"/>
        <w:rPr>
          <w:rFonts w:ascii="宋体" w:hAnsi="宋体"/>
          <w:b/>
          <w:bCs/>
          <w:color w:val="auto"/>
          <w:sz w:val="24"/>
          <w:szCs w:val="24"/>
          <w:highlight w:val="none"/>
        </w:rPr>
      </w:pPr>
      <w:bookmarkStart w:id="3" w:name="_Toc35393629"/>
      <w:bookmarkEnd w:id="3"/>
      <w:bookmarkStart w:id="4" w:name="_Toc28359012"/>
      <w:bookmarkEnd w:id="4"/>
      <w:bookmarkStart w:id="5" w:name="_Toc28359089"/>
      <w:bookmarkEnd w:id="5"/>
      <w:bookmarkStart w:id="6" w:name="_Toc35393798"/>
      <w:bookmarkEnd w:id="6"/>
      <w:r>
        <w:rPr>
          <w:rFonts w:hint="eastAsia" w:ascii="宋体" w:hAnsi="宋体"/>
          <w:b/>
          <w:bCs/>
          <w:color w:val="auto"/>
          <w:sz w:val="24"/>
          <w:szCs w:val="24"/>
          <w:highlight w:val="none"/>
        </w:rPr>
        <w:t>一、项目基本情况</w:t>
      </w:r>
    </w:p>
    <w:p w14:paraId="4AE55678">
      <w:pPr>
        <w:autoSpaceDE/>
        <w:autoSpaceDN/>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项目编号：采购计划-[2025]-08792号-JLZG-20250625</w:t>
      </w:r>
      <w:r>
        <w:rPr>
          <w:rFonts w:hint="eastAsia" w:ascii="宋体" w:hAnsi="宋体"/>
          <w:color w:val="auto"/>
          <w:sz w:val="24"/>
          <w:szCs w:val="24"/>
          <w:highlight w:val="none"/>
          <w:lang w:eastAsia="zh-CN"/>
        </w:rPr>
        <w:t>；</w:t>
      </w:r>
    </w:p>
    <w:p w14:paraId="5D743CD5">
      <w:pPr>
        <w:autoSpaceDE/>
        <w:autoSpaceDN/>
        <w:ind w:firstLine="480" w:firstLineChars="200"/>
        <w:rPr>
          <w:rFonts w:ascii="宋体" w:hAnsi="宋体"/>
          <w:color w:val="auto"/>
          <w:sz w:val="24"/>
          <w:szCs w:val="24"/>
          <w:highlight w:val="none"/>
        </w:rPr>
      </w:pPr>
      <w:r>
        <w:rPr>
          <w:rFonts w:hint="eastAsia" w:ascii="宋体" w:hAnsi="宋体"/>
          <w:color w:val="auto"/>
          <w:sz w:val="24"/>
          <w:szCs w:val="24"/>
          <w:highlight w:val="none"/>
        </w:rPr>
        <w:t>项目名称：吉林艺术学院繁荣校区食堂厨房和餐厅设备项目；</w:t>
      </w:r>
    </w:p>
    <w:p w14:paraId="73673A37">
      <w:pPr>
        <w:autoSpaceDE/>
        <w:autoSpaceDN/>
        <w:ind w:firstLine="480" w:firstLineChars="200"/>
        <w:rPr>
          <w:rFonts w:ascii="宋体" w:hAnsi="宋体"/>
          <w:color w:val="auto"/>
          <w:sz w:val="24"/>
          <w:szCs w:val="24"/>
          <w:highlight w:val="none"/>
        </w:rPr>
      </w:pPr>
      <w:r>
        <w:rPr>
          <w:rFonts w:hint="eastAsia" w:ascii="宋体" w:hAnsi="宋体"/>
          <w:color w:val="auto"/>
          <w:sz w:val="24"/>
          <w:szCs w:val="24"/>
          <w:highlight w:val="none"/>
        </w:rPr>
        <w:t>采购方式：公开招标；</w:t>
      </w:r>
    </w:p>
    <w:p w14:paraId="2BD202D1">
      <w:pPr>
        <w:autoSpaceDE/>
        <w:autoSpaceDN/>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rPr>
        <w:t>预算金额：466248.00元</w:t>
      </w:r>
      <w:r>
        <w:rPr>
          <w:rFonts w:hint="eastAsia" w:ascii="宋体" w:hAnsi="宋体"/>
          <w:color w:val="auto"/>
          <w:sz w:val="24"/>
          <w:szCs w:val="24"/>
          <w:highlight w:val="none"/>
          <w:lang w:eastAsia="zh-CN"/>
        </w:rPr>
        <w:t>；</w:t>
      </w:r>
    </w:p>
    <w:p w14:paraId="445595AA">
      <w:pPr>
        <w:autoSpaceDE/>
        <w:autoSpaceDN/>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采购需求：</w:t>
      </w:r>
      <w:r>
        <w:rPr>
          <w:rFonts w:hint="eastAsia" w:ascii="宋体" w:hAnsi="宋体"/>
          <w:color w:val="auto"/>
          <w:sz w:val="24"/>
          <w:szCs w:val="24"/>
          <w:highlight w:val="none"/>
        </w:rPr>
        <w:t>吉林艺术学院繁荣校区食堂厨房和餐厅设备</w:t>
      </w:r>
      <w:r>
        <w:rPr>
          <w:rFonts w:hint="eastAsia" w:ascii="宋体" w:hAnsi="宋体"/>
          <w:color w:val="auto"/>
          <w:sz w:val="24"/>
          <w:szCs w:val="24"/>
          <w:highlight w:val="none"/>
          <w:lang w:val="zh-CN" w:eastAsia="zh-CN"/>
        </w:rPr>
        <w:t>(</w:t>
      </w:r>
      <w:r>
        <w:rPr>
          <w:rFonts w:hint="eastAsia" w:ascii="宋体" w:hAnsi="宋体"/>
          <w:color w:val="auto"/>
          <w:sz w:val="24"/>
          <w:szCs w:val="24"/>
          <w:highlight w:val="none"/>
          <w:lang w:eastAsia="zh-CN"/>
        </w:rPr>
        <w:t>详见</w:t>
      </w:r>
      <w:r>
        <w:rPr>
          <w:rFonts w:hint="eastAsia" w:ascii="宋体" w:hAnsi="宋体"/>
          <w:color w:val="auto"/>
          <w:sz w:val="24"/>
          <w:szCs w:val="24"/>
          <w:highlight w:val="none"/>
          <w:lang w:val="en-US" w:eastAsia="zh-CN"/>
        </w:rPr>
        <w:t>招标文件第四章</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采购需求</w:t>
      </w:r>
      <w:r>
        <w:rPr>
          <w:rFonts w:hint="eastAsia" w:ascii="宋体" w:hAnsi="宋体"/>
          <w:color w:val="auto"/>
          <w:sz w:val="24"/>
          <w:szCs w:val="24"/>
          <w:highlight w:val="none"/>
          <w:lang w:val="zh-CN" w:eastAsia="zh-CN"/>
        </w:rPr>
        <w:t>”)；</w:t>
      </w:r>
    </w:p>
    <w:p w14:paraId="4850A8FE">
      <w:pPr>
        <w:pStyle w:val="133"/>
        <w:ind w:firstLine="480" w:firstLineChars="200"/>
        <w:rPr>
          <w:rFonts w:hint="eastAsia" w:ascii="宋体" w:hAnsi="宋体" w:eastAsia="宋体" w:cs="Times New Roman"/>
          <w:color w:val="auto"/>
          <w:kern w:val="0"/>
          <w:sz w:val="24"/>
          <w:szCs w:val="24"/>
          <w:highlight w:val="none"/>
          <w:lang w:val="zh-CN" w:eastAsia="zh-CN" w:bidi="ar-SA"/>
        </w:rPr>
      </w:pPr>
      <w:r>
        <w:rPr>
          <w:rFonts w:hint="eastAsia" w:ascii="宋体" w:hAnsi="宋体" w:cs="Times New Roman"/>
          <w:color w:val="auto"/>
          <w:kern w:val="0"/>
          <w:sz w:val="24"/>
          <w:szCs w:val="24"/>
          <w:highlight w:val="none"/>
          <w:lang w:val="zh-CN" w:eastAsia="zh-CN" w:bidi="ar-SA"/>
        </w:rPr>
        <w:t>供货时间</w:t>
      </w:r>
      <w:r>
        <w:rPr>
          <w:rFonts w:hint="eastAsia" w:ascii="宋体" w:hAnsi="宋体" w:eastAsia="宋体" w:cs="Times New Roman"/>
          <w:color w:val="auto"/>
          <w:kern w:val="0"/>
          <w:sz w:val="24"/>
          <w:szCs w:val="24"/>
          <w:highlight w:val="none"/>
          <w:lang w:val="zh-CN" w:eastAsia="zh-CN" w:bidi="ar-SA"/>
        </w:rPr>
        <w:t>：合同订立后</w:t>
      </w:r>
      <w:r>
        <w:rPr>
          <w:rFonts w:hint="eastAsia" w:ascii="宋体" w:hAnsi="宋体" w:cs="Times New Roman"/>
          <w:color w:val="auto"/>
          <w:kern w:val="0"/>
          <w:sz w:val="24"/>
          <w:szCs w:val="24"/>
          <w:highlight w:val="none"/>
          <w:lang w:val="en-US" w:eastAsia="zh-CN" w:bidi="ar-SA"/>
        </w:rPr>
        <w:t>30</w:t>
      </w:r>
      <w:r>
        <w:rPr>
          <w:rFonts w:hint="eastAsia" w:ascii="宋体" w:hAnsi="宋体" w:eastAsia="宋体" w:cs="Times New Roman"/>
          <w:color w:val="auto"/>
          <w:kern w:val="0"/>
          <w:sz w:val="24"/>
          <w:szCs w:val="24"/>
          <w:highlight w:val="none"/>
          <w:lang w:val="zh-CN" w:eastAsia="zh-CN" w:bidi="ar-SA"/>
        </w:rPr>
        <w:t>天内完成</w:t>
      </w:r>
      <w:r>
        <w:rPr>
          <w:rFonts w:hint="eastAsia" w:ascii="宋体" w:hAnsi="宋体" w:cs="Times New Roman"/>
          <w:color w:val="auto"/>
          <w:kern w:val="0"/>
          <w:sz w:val="24"/>
          <w:szCs w:val="24"/>
          <w:highlight w:val="none"/>
          <w:lang w:val="en-US" w:eastAsia="zh-CN" w:bidi="ar-SA"/>
        </w:rPr>
        <w:t>送货安装</w:t>
      </w:r>
      <w:r>
        <w:rPr>
          <w:rFonts w:hint="eastAsia" w:ascii="宋体" w:hAnsi="宋体" w:eastAsia="宋体" w:cs="Times New Roman"/>
          <w:color w:val="auto"/>
          <w:kern w:val="0"/>
          <w:sz w:val="24"/>
          <w:szCs w:val="24"/>
          <w:highlight w:val="none"/>
          <w:lang w:val="en-US" w:eastAsia="zh-CN" w:bidi="ar-SA"/>
        </w:rPr>
        <w:t>；</w:t>
      </w:r>
    </w:p>
    <w:p w14:paraId="78E619CC">
      <w:pPr>
        <w:pStyle w:val="133"/>
        <w:ind w:firstLine="480" w:firstLineChars="200"/>
        <w:rPr>
          <w:rFonts w:hint="eastAsia" w:ascii="宋体" w:hAnsi="宋体" w:eastAsia="宋体" w:cs="Times New Roman"/>
          <w:color w:val="auto"/>
          <w:kern w:val="0"/>
          <w:sz w:val="24"/>
          <w:szCs w:val="24"/>
          <w:highlight w:val="none"/>
          <w:lang w:val="zh-CN" w:eastAsia="zh-CN" w:bidi="ar-SA"/>
        </w:rPr>
      </w:pPr>
      <w:r>
        <w:rPr>
          <w:rFonts w:hint="eastAsia" w:ascii="宋体" w:hAnsi="宋体" w:cs="Times New Roman"/>
          <w:color w:val="auto"/>
          <w:kern w:val="0"/>
          <w:sz w:val="24"/>
          <w:szCs w:val="24"/>
          <w:highlight w:val="none"/>
          <w:lang w:val="zh-CN" w:eastAsia="zh-CN" w:bidi="ar-SA"/>
        </w:rPr>
        <w:t>供货地点</w:t>
      </w:r>
      <w:r>
        <w:rPr>
          <w:rFonts w:hint="eastAsia" w:ascii="宋体" w:hAnsi="宋体" w:eastAsia="宋体" w:cs="Times New Roman"/>
          <w:color w:val="auto"/>
          <w:kern w:val="0"/>
          <w:sz w:val="24"/>
          <w:szCs w:val="24"/>
          <w:highlight w:val="none"/>
          <w:lang w:val="zh-CN" w:eastAsia="zh-CN" w:bidi="ar-SA"/>
        </w:rPr>
        <w:t>：</w:t>
      </w:r>
      <w:r>
        <w:rPr>
          <w:rFonts w:hint="eastAsia" w:ascii="宋体" w:hAnsi="宋体"/>
          <w:color w:val="auto"/>
          <w:sz w:val="24"/>
          <w:szCs w:val="24"/>
          <w:highlight w:val="none"/>
        </w:rPr>
        <w:t>吉林艺术学院繁荣校区</w:t>
      </w:r>
      <w:r>
        <w:rPr>
          <w:rFonts w:hint="eastAsia" w:ascii="宋体" w:hAnsi="宋体" w:eastAsia="宋体" w:cs="Times New Roman"/>
          <w:color w:val="auto"/>
          <w:kern w:val="0"/>
          <w:sz w:val="24"/>
          <w:szCs w:val="24"/>
          <w:highlight w:val="none"/>
          <w:lang w:val="zh-CN" w:eastAsia="zh-CN" w:bidi="ar-SA"/>
        </w:rPr>
        <w:t>；</w:t>
      </w:r>
    </w:p>
    <w:p w14:paraId="2D519220">
      <w:pPr>
        <w:pStyle w:val="133"/>
        <w:ind w:firstLine="480" w:firstLineChars="200"/>
        <w:rPr>
          <w:rFonts w:hint="eastAsia" w:ascii="宋体" w:hAnsi="宋体" w:eastAsia="宋体" w:cs="Times New Roman"/>
          <w:color w:val="auto"/>
          <w:kern w:val="0"/>
          <w:sz w:val="24"/>
          <w:szCs w:val="24"/>
          <w:highlight w:val="none"/>
          <w:lang w:val="zh-CN" w:eastAsia="zh-CN" w:bidi="ar-SA"/>
        </w:rPr>
      </w:pPr>
      <w:r>
        <w:rPr>
          <w:rFonts w:hint="eastAsia" w:ascii="宋体" w:hAnsi="宋体" w:cs="Times New Roman"/>
          <w:color w:val="auto"/>
          <w:kern w:val="0"/>
          <w:sz w:val="24"/>
          <w:szCs w:val="24"/>
          <w:highlight w:val="none"/>
          <w:lang w:val="en-US" w:eastAsia="zh-CN" w:bidi="ar-SA"/>
        </w:rPr>
        <w:t>供货</w:t>
      </w:r>
      <w:r>
        <w:rPr>
          <w:rFonts w:hint="eastAsia" w:ascii="宋体" w:hAnsi="宋体" w:eastAsia="宋体" w:cs="Times New Roman"/>
          <w:color w:val="auto"/>
          <w:kern w:val="0"/>
          <w:sz w:val="24"/>
          <w:szCs w:val="24"/>
          <w:highlight w:val="none"/>
          <w:lang w:val="zh-CN" w:eastAsia="zh-CN" w:bidi="ar-SA"/>
        </w:rPr>
        <w:t>方式：供方负责按需方要求提供全部</w:t>
      </w:r>
      <w:r>
        <w:rPr>
          <w:rFonts w:hint="eastAsia" w:ascii="宋体" w:hAnsi="宋体" w:cs="Times New Roman"/>
          <w:color w:val="auto"/>
          <w:kern w:val="0"/>
          <w:sz w:val="24"/>
          <w:szCs w:val="24"/>
          <w:highlight w:val="none"/>
          <w:lang w:val="en-US" w:eastAsia="zh-CN" w:bidi="ar-SA"/>
        </w:rPr>
        <w:t>供货</w:t>
      </w:r>
      <w:r>
        <w:rPr>
          <w:rFonts w:hint="eastAsia" w:ascii="宋体" w:hAnsi="宋体" w:eastAsia="宋体" w:cs="Times New Roman"/>
          <w:color w:val="auto"/>
          <w:kern w:val="0"/>
          <w:sz w:val="24"/>
          <w:szCs w:val="24"/>
          <w:highlight w:val="none"/>
          <w:lang w:val="zh-CN" w:eastAsia="zh-CN" w:bidi="ar-SA"/>
        </w:rPr>
        <w:t>服务并保证验收合格；</w:t>
      </w:r>
    </w:p>
    <w:p w14:paraId="0771478F">
      <w:pPr>
        <w:autoSpaceDE/>
        <w:autoSpaceDN/>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本项目不接受联合体投标。</w:t>
      </w:r>
    </w:p>
    <w:p w14:paraId="26B7D543">
      <w:pPr>
        <w:autoSpaceDE/>
        <w:autoSpaceDN/>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w:t>
      </w:r>
      <w:r>
        <w:rPr>
          <w:rFonts w:hint="eastAsia" w:ascii="宋体" w:hAnsi="宋体"/>
          <w:b/>
          <w:bCs/>
          <w:color w:val="auto"/>
          <w:sz w:val="24"/>
          <w:szCs w:val="24"/>
          <w:highlight w:val="none"/>
          <w:lang w:val="en-US" w:eastAsia="zh-CN"/>
        </w:rPr>
        <w:t>投标</w:t>
      </w:r>
      <w:r>
        <w:rPr>
          <w:rFonts w:hint="eastAsia" w:ascii="宋体" w:hAnsi="宋体"/>
          <w:b/>
          <w:bCs/>
          <w:color w:val="auto"/>
          <w:sz w:val="24"/>
          <w:szCs w:val="24"/>
          <w:highlight w:val="none"/>
        </w:rPr>
        <w:t>申请人的资格要求：</w:t>
      </w:r>
    </w:p>
    <w:p w14:paraId="7F8F1667">
      <w:pPr>
        <w:autoSpaceDE/>
        <w:autoSpaceDN/>
        <w:ind w:firstLine="480" w:firstLineChars="200"/>
        <w:rPr>
          <w:rFonts w:ascii="宋体" w:hAnsi="宋体"/>
          <w:color w:val="auto"/>
          <w:sz w:val="24"/>
          <w:szCs w:val="24"/>
          <w:highlight w:val="none"/>
        </w:rPr>
      </w:pPr>
      <w:bookmarkStart w:id="7" w:name="_Toc28359014"/>
      <w:bookmarkStart w:id="8" w:name="_Toc28359091"/>
      <w:r>
        <w:rPr>
          <w:rFonts w:hint="eastAsia" w:ascii="宋体" w:hAnsi="宋体"/>
          <w:color w:val="auto"/>
          <w:sz w:val="24"/>
          <w:szCs w:val="24"/>
          <w:highlight w:val="none"/>
        </w:rPr>
        <w:t>1.满足《中华人民共和国政府采购法》第二十二条规定；</w:t>
      </w:r>
    </w:p>
    <w:p w14:paraId="4E144C8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2.落实政府采购政策需满足的资格要求：本项目非专门面向中小企业；</w:t>
      </w:r>
    </w:p>
    <w:p w14:paraId="18567F0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需要落实的政府采购政策：《政府采购促进中小企业发展管理办法》(财库[2020]46号) 、《关于进一步加大政府采购支持中小企业力度的通知》（财库[2022]19号）、《关于政府采购支持监狱企业发展有关问题的通知》(财库〔2014〕68 号)、《关于促进残疾人就业政府采购政策的通知》（财库〔2017〕141 号)、《关于调整优化节能产品、环境标志产品政府采购执行机制的通知》（财库〔2019〕9号）等。</w:t>
      </w:r>
      <w:r>
        <w:rPr>
          <w:rFonts w:hint="eastAsia" w:ascii="宋体" w:hAnsi="宋体" w:cs="宋体"/>
          <w:color w:val="auto"/>
          <w:sz w:val="24"/>
          <w:szCs w:val="24"/>
          <w:highlight w:val="none"/>
          <w:lang w:val="zh-CN"/>
        </w:rPr>
        <w:t>专门面向中小企业采购的项目或者采购包，不再执行价格评审优惠的扶持政策。</w:t>
      </w:r>
    </w:p>
    <w:p w14:paraId="450026E6">
      <w:pPr>
        <w:autoSpaceDE/>
        <w:autoSpaceDN/>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.本项目的特定资格要求：</w:t>
      </w:r>
    </w:p>
    <w:p w14:paraId="366C143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3.1</w:t>
      </w:r>
      <w:r>
        <w:rPr>
          <w:rFonts w:hint="eastAsia" w:ascii="宋体" w:hAnsi="宋体" w:cs="宋体"/>
          <w:color w:val="auto"/>
          <w:sz w:val="24"/>
          <w:szCs w:val="24"/>
          <w:highlight w:val="none"/>
          <w:lang w:val="zh-CN"/>
        </w:rPr>
        <w:t>财务要求：</w:t>
      </w:r>
      <w:r>
        <w:rPr>
          <w:rFonts w:hint="eastAsia" w:ascii="宋体" w:hAnsi="宋体" w:cs="宋体"/>
          <w:color w:val="auto"/>
          <w:sz w:val="24"/>
          <w:szCs w:val="24"/>
          <w:highlight w:val="none"/>
        </w:rPr>
        <w:t>近年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2024</w:t>
      </w:r>
      <w:r>
        <w:rPr>
          <w:rFonts w:hint="eastAsia" w:ascii="宋体" w:hAnsi="宋体" w:cs="宋体"/>
          <w:color w:val="auto"/>
          <w:sz w:val="24"/>
          <w:szCs w:val="24"/>
          <w:highlight w:val="none"/>
        </w:rPr>
        <w:t>年）经会计师事务所</w:t>
      </w:r>
      <w:r>
        <w:rPr>
          <w:rFonts w:hint="eastAsia" w:ascii="宋体" w:hAnsi="宋体" w:cs="宋体"/>
          <w:color w:val="auto"/>
          <w:sz w:val="24"/>
          <w:szCs w:val="24"/>
          <w:highlight w:val="none"/>
          <w:lang w:val="en-US" w:eastAsia="zh-CN"/>
        </w:rPr>
        <w:t>出具</w:t>
      </w:r>
      <w:r>
        <w:rPr>
          <w:rFonts w:hint="eastAsia" w:ascii="宋体" w:hAnsi="宋体" w:cs="宋体"/>
          <w:color w:val="auto"/>
          <w:sz w:val="24"/>
          <w:szCs w:val="24"/>
          <w:highlight w:val="none"/>
        </w:rPr>
        <w:t>的财务审计报告（若投标人为</w:t>
      </w:r>
      <w:r>
        <w:rPr>
          <w:rFonts w:hint="eastAsia" w:ascii="宋体" w:hAnsi="宋体" w:cs="宋体"/>
          <w:color w:val="auto"/>
          <w:sz w:val="24"/>
          <w:szCs w:val="24"/>
          <w:highlight w:val="none"/>
          <w:lang w:val="en-US" w:eastAsia="zh-CN"/>
        </w:rPr>
        <w:t>2024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12月31日</w:t>
      </w:r>
      <w:r>
        <w:rPr>
          <w:rFonts w:hint="eastAsia" w:ascii="宋体" w:hAnsi="宋体" w:cs="宋体"/>
          <w:color w:val="auto"/>
          <w:sz w:val="24"/>
          <w:szCs w:val="24"/>
          <w:highlight w:val="none"/>
        </w:rPr>
        <w:t>以后注册成立的公司，仅需提供银行出具的资信证明即可）</w:t>
      </w:r>
      <w:r>
        <w:rPr>
          <w:rFonts w:hint="eastAsia" w:ascii="宋体" w:hAnsi="宋体" w:cs="宋体"/>
          <w:color w:val="auto"/>
          <w:sz w:val="24"/>
          <w:szCs w:val="24"/>
          <w:highlight w:val="none"/>
          <w:lang w:val="zh-CN"/>
        </w:rPr>
        <w:t>；</w:t>
      </w:r>
    </w:p>
    <w:p w14:paraId="49087E1B">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rPr>
        <w:t>近半年内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2025年1月1日至2025年6月30日</w:t>
      </w:r>
      <w:r>
        <w:rPr>
          <w:rFonts w:hint="eastAsia" w:ascii="宋体" w:hAnsi="宋体" w:cs="宋体"/>
          <w:color w:val="auto"/>
          <w:sz w:val="24"/>
          <w:szCs w:val="24"/>
          <w:highlight w:val="none"/>
          <w:lang w:eastAsia="zh-CN"/>
        </w:rPr>
        <w:t>）任意</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个月</w:t>
      </w:r>
      <w:r>
        <w:rPr>
          <w:rFonts w:hint="eastAsia" w:ascii="宋体" w:hAnsi="宋体" w:cs="宋体"/>
          <w:color w:val="auto"/>
          <w:sz w:val="24"/>
          <w:szCs w:val="24"/>
          <w:highlight w:val="none"/>
        </w:rPr>
        <w:t>依法缴纳税收和社会保障资金的良好记录证明</w:t>
      </w:r>
      <w:r>
        <w:rPr>
          <w:rFonts w:hint="eastAsia" w:ascii="宋体" w:hAnsi="宋体" w:cs="宋体"/>
          <w:color w:val="auto"/>
          <w:sz w:val="24"/>
          <w:szCs w:val="24"/>
          <w:highlight w:val="none"/>
          <w:lang w:eastAsia="zh-CN"/>
        </w:rPr>
        <w:t>，依法免税的提供免税证明材料；</w:t>
      </w:r>
    </w:p>
    <w:p w14:paraId="7E5F83D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3.3拒绝列入政府取消投标资格记录期间的企业或个人投标；</w:t>
      </w:r>
    </w:p>
    <w:p w14:paraId="4D1B872A">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3.4投标人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7A6C524F">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3.5参加政府采购活动前三年内，在经营活动中没有重大违法记录。</w:t>
      </w:r>
    </w:p>
    <w:p w14:paraId="0F155FD5">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与采购人存在利害关系可能影响招标公正性的法人、其他组织或者个人，不得参加本项目投标；单位负责人为同一人或者存在直接控股、管理关系的不同供应商，不得参加同一合同项下的政府采购活动。一般须具备法人资格，分公司或者分支机构须取得总公司授权。</w:t>
      </w:r>
    </w:p>
    <w:p w14:paraId="6B807AEB">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3.7本项目不接受联合体投标。</w:t>
      </w:r>
    </w:p>
    <w:bookmarkEnd w:id="7"/>
    <w:bookmarkEnd w:id="8"/>
    <w:p w14:paraId="2391D664">
      <w:pPr>
        <w:autoSpaceDE/>
        <w:autoSpaceDN/>
        <w:ind w:firstLine="482" w:firstLineChars="200"/>
        <w:rPr>
          <w:rFonts w:ascii="宋体" w:hAnsi="宋体"/>
          <w:b/>
          <w:bCs/>
          <w:color w:val="auto"/>
          <w:sz w:val="24"/>
          <w:szCs w:val="24"/>
          <w:highlight w:val="none"/>
        </w:rPr>
      </w:pPr>
      <w:bookmarkStart w:id="9" w:name="_Toc35393800"/>
      <w:bookmarkEnd w:id="9"/>
      <w:bookmarkStart w:id="10" w:name="_Toc35393631"/>
      <w:bookmarkEnd w:id="10"/>
      <w:r>
        <w:rPr>
          <w:rFonts w:hint="eastAsia" w:ascii="宋体" w:hAnsi="宋体"/>
          <w:b/>
          <w:bCs/>
          <w:color w:val="auto"/>
          <w:sz w:val="24"/>
          <w:szCs w:val="24"/>
          <w:highlight w:val="none"/>
        </w:rPr>
        <w:t>三、获取招标文件</w:t>
      </w:r>
    </w:p>
    <w:p w14:paraId="42D5084E">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en-US" w:eastAsia="zh-CN"/>
        </w:rPr>
      </w:pPr>
      <w:bookmarkStart w:id="11" w:name="_Toc35393624"/>
      <w:bookmarkEnd w:id="11"/>
      <w:bookmarkStart w:id="12" w:name="_Toc28359082"/>
      <w:bookmarkEnd w:id="12"/>
      <w:bookmarkStart w:id="13" w:name="_Toc28359005"/>
      <w:bookmarkEnd w:id="13"/>
      <w:bookmarkStart w:id="14" w:name="_Toc35393793"/>
      <w:bookmarkStart w:id="15" w:name="_Toc28359017"/>
      <w:bookmarkStart w:id="16" w:name="_Toc28359094"/>
      <w:bookmarkStart w:id="17" w:name="_Toc35393803"/>
      <w:bookmarkStart w:id="18" w:name="_Toc35393634"/>
      <w:r>
        <w:rPr>
          <w:rFonts w:hint="eastAsia" w:ascii="宋体" w:hAnsi="宋体" w:cs="宋体"/>
          <w:color w:val="auto"/>
          <w:sz w:val="24"/>
          <w:szCs w:val="24"/>
          <w:highlight w:val="none"/>
          <w:lang w:val="en-US" w:eastAsia="zh-CN"/>
        </w:rPr>
        <w:t>1.时间：2025年7月7日至2025年7月14日</w:t>
      </w:r>
    </w:p>
    <w:p w14:paraId="41409A3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2.方式：潜在投标人自行登录“政采云”平台（网址：http:// www.zcygov.cn）按要求下载采购文件（操作路径：登录“政采云”平台-项目采购-获取采购文件-找到本项目-点击“申请获取采购文件”），其他途径获取的采购文件开标时一律按无效投标处理；</w:t>
      </w:r>
    </w:p>
    <w:p w14:paraId="1B6827D4">
      <w:pPr>
        <w:autoSpaceDE/>
        <w:autoSpaceDN/>
        <w:ind w:firstLine="480" w:firstLineChars="200"/>
        <w:rPr>
          <w:rFonts w:ascii="宋体" w:hAnsi="宋体"/>
          <w:color w:val="auto"/>
          <w:sz w:val="24"/>
          <w:szCs w:val="24"/>
          <w:highlight w:val="none"/>
        </w:rPr>
      </w:pPr>
      <w:r>
        <w:rPr>
          <w:rFonts w:hint="eastAsia" w:ascii="宋体" w:hAnsi="宋体"/>
          <w:color w:val="auto"/>
          <w:sz w:val="24"/>
          <w:szCs w:val="24"/>
          <w:highlight w:val="none"/>
          <w:lang w:val="zh-CN"/>
        </w:rPr>
        <w:t>售价：0元。</w:t>
      </w:r>
    </w:p>
    <w:bookmarkEnd w:id="14"/>
    <w:p w14:paraId="1EFF80AB">
      <w:pPr>
        <w:autoSpaceDE/>
        <w:autoSpaceDN/>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四、递交投标文件截止时间、开标时间和地点</w:t>
      </w:r>
    </w:p>
    <w:p w14:paraId="6B424527">
      <w:pPr>
        <w:autoSpaceDE/>
        <w:autoSpaceDN/>
        <w:ind w:firstLine="480" w:firstLineChars="200"/>
        <w:rPr>
          <w:rFonts w:ascii="宋体" w:hAnsi="宋体"/>
          <w:color w:val="auto"/>
          <w:sz w:val="24"/>
          <w:szCs w:val="24"/>
          <w:highlight w:val="none"/>
        </w:rPr>
      </w:pPr>
      <w:bookmarkStart w:id="19" w:name="_Toc28359007"/>
      <w:bookmarkEnd w:id="19"/>
      <w:bookmarkStart w:id="20" w:name="_Toc35393794"/>
      <w:bookmarkEnd w:id="20"/>
      <w:bookmarkStart w:id="21" w:name="_Toc28359084"/>
      <w:bookmarkEnd w:id="21"/>
      <w:bookmarkStart w:id="22" w:name="_Toc35393625"/>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投标截止时间(即开标时间</w:t>
      </w:r>
      <w:r>
        <w:rPr>
          <w:rFonts w:ascii="宋体" w:hAnsi="宋体"/>
          <w:color w:val="auto"/>
          <w:sz w:val="24"/>
          <w:szCs w:val="24"/>
          <w:highlight w:val="none"/>
        </w:rPr>
        <w:t>)</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bookmarkEnd w:id="22"/>
    <w:p w14:paraId="4E1A8CD2">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2.地点：长春市二道区洋浦大街凯利中心AB栋101室，</w:t>
      </w:r>
      <w:r>
        <w:rPr>
          <w:rFonts w:hint="eastAsia" w:ascii="宋体" w:hAnsi="宋体" w:cs="宋体"/>
          <w:color w:val="auto"/>
          <w:sz w:val="24"/>
          <w:szCs w:val="24"/>
          <w:highlight w:val="none"/>
          <w:lang w:val="en-US" w:eastAsia="zh-CN"/>
        </w:rPr>
        <w:t>第2</w:t>
      </w:r>
      <w:r>
        <w:rPr>
          <w:rFonts w:hint="eastAsia" w:ascii="宋体" w:hAnsi="宋体" w:eastAsia="宋体" w:cs="宋体"/>
          <w:color w:val="auto"/>
          <w:sz w:val="24"/>
          <w:szCs w:val="24"/>
          <w:highlight w:val="none"/>
          <w:lang w:val="en-US" w:eastAsia="zh-CN"/>
        </w:rPr>
        <w:t>开标室；</w:t>
      </w:r>
    </w:p>
    <w:p w14:paraId="24473BA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提交方式：本项目为全流程电子化项目，通过“政采云”平台（http：//www.zcygov.cn）实行在线电子投标，投标人应先安装“政采云投标客户端”（请自行前往“政采云”平台进行下载），并按照本项目采购文件和“政采云”平台的要求编制、加密后在投标文件截止时间前通过网络上传至“政采云”平台，投标人在“政采云”平台提交电子版投标文件时，请填写参加采购活动经办人联系方式。电子投标文件解密期限及方式：开启时间后30分钟内，由投标人持制作该电子投标文件的同一数字证书（CA锁）及电脑进行远程解密（各投标人在开标前及网上开评标系统公布投标人名单前，不要提前进行远程解密）。</w:t>
      </w:r>
    </w:p>
    <w:p w14:paraId="74564FA6">
      <w:pPr>
        <w:autoSpaceDE/>
        <w:autoSpaceDN/>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五、公告期限</w:t>
      </w:r>
    </w:p>
    <w:p w14:paraId="58C7F49C">
      <w:pPr>
        <w:autoSpaceDE/>
        <w:autoSpaceDN/>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自本公告发布之日起5个工作日。 </w:t>
      </w:r>
    </w:p>
    <w:bookmarkEnd w:id="15"/>
    <w:bookmarkEnd w:id="16"/>
    <w:bookmarkEnd w:id="17"/>
    <w:bookmarkEnd w:id="18"/>
    <w:p w14:paraId="5C6DFEE0">
      <w:pPr>
        <w:autoSpaceDE/>
        <w:autoSpaceDN/>
        <w:ind w:firstLine="482" w:firstLineChars="200"/>
        <w:rPr>
          <w:rFonts w:ascii="宋体" w:hAnsi="宋体"/>
          <w:b/>
          <w:bCs/>
          <w:color w:val="auto"/>
          <w:sz w:val="24"/>
          <w:szCs w:val="24"/>
          <w:highlight w:val="none"/>
        </w:rPr>
      </w:pPr>
      <w:bookmarkStart w:id="23" w:name="_Toc35393804"/>
      <w:bookmarkEnd w:id="23"/>
      <w:bookmarkStart w:id="24" w:name="_Toc35393635"/>
      <w:bookmarkEnd w:id="24"/>
      <w:r>
        <w:rPr>
          <w:rFonts w:hint="eastAsia" w:ascii="宋体" w:hAnsi="宋体"/>
          <w:b/>
          <w:bCs/>
          <w:color w:val="auto"/>
          <w:sz w:val="24"/>
          <w:szCs w:val="24"/>
          <w:highlight w:val="none"/>
        </w:rPr>
        <w:t>六、其他补充事宜</w:t>
      </w:r>
    </w:p>
    <w:p w14:paraId="3C1B25B5">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采购公告发布媒介</w:t>
      </w:r>
      <w:r>
        <w:rPr>
          <w:rFonts w:hint="eastAsia" w:ascii="宋体" w:hAnsi="宋体" w:cs="宋体"/>
          <w:color w:val="auto"/>
          <w:sz w:val="24"/>
          <w:szCs w:val="24"/>
          <w:highlight w:val="none"/>
          <w:lang w:val="zh-CN" w:eastAsia="zh-CN"/>
        </w:rPr>
        <w:t>：本次招标公告在“政采云”平台（https://www.zcygov.cn/）上发布并同步推送到吉林省政府采购网（http://www.ccgp-jilin.gov.cn/）。</w:t>
      </w:r>
    </w:p>
    <w:p w14:paraId="44A946B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电子化平台相关注意事项：</w:t>
      </w:r>
    </w:p>
    <w:p w14:paraId="172CEB32">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（1）供应商在电子化平台参与政府采购项目前，应在电子化平台完成信息注册；</w:t>
      </w:r>
    </w:p>
    <w:p w14:paraId="259A3EB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 CA 数字证书申请：未进行政采云注册并办理数字证书（CA 认证）的供应商将无法参与本项目政府采购活动。供应商须自行考虑办理时间，由于供应商自身原因导致无法完成办理的，后果自负；</w:t>
      </w:r>
    </w:p>
    <w:p w14:paraId="38D0AE5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安信 CA 申请流程：</w:t>
      </w:r>
    </w:p>
    <w:p w14:paraId="45FE6B9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http://www.anxinca.com/kehu/zcy/kh-zcy-zsshenqing.html；翔晟 CA 申请流程：http://www.share-sun.com/xsapply/admin/login.aspx?unitname=jilin）；</w:t>
      </w:r>
    </w:p>
    <w:p w14:paraId="15864FE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）为确保网上操作合法、有效和安全，请供应商确保在电子响应过程中能够对相关数据电文进行加密和使用电子签章，妥善保管 CA 数字证书并使用有效的 CA 数字证书参与整个采购活动；</w:t>
      </w:r>
    </w:p>
    <w:p w14:paraId="52B08D79">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）若对项目采购电子交易系统操作有疑问，可登录“政采云”平台，点击右侧咨询小采，获取智能服务管家帮助，或拨打政采云服务热线 95763 获取帮助。</w:t>
      </w:r>
    </w:p>
    <w:p w14:paraId="488B3634">
      <w:pPr>
        <w:autoSpaceDE/>
        <w:autoSpaceDN/>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七、对本次采购提出询问，请按以下方式联系</w:t>
      </w:r>
    </w:p>
    <w:p w14:paraId="48F0816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rPr>
      </w:pPr>
      <w:bookmarkStart w:id="25" w:name="_Toc35393637"/>
      <w:bookmarkEnd w:id="25"/>
      <w:bookmarkStart w:id="26" w:name="_Toc28359019"/>
      <w:bookmarkEnd w:id="26"/>
      <w:bookmarkStart w:id="27" w:name="_Toc28359096"/>
      <w:bookmarkEnd w:id="27"/>
      <w:bookmarkStart w:id="28" w:name="_Toc35393806"/>
      <w:bookmarkEnd w:id="28"/>
      <w:r>
        <w:rPr>
          <w:rFonts w:hint="eastAsia" w:ascii="宋体" w:hAnsi="宋体" w:cs="宋体"/>
          <w:color w:val="auto"/>
          <w:sz w:val="24"/>
          <w:szCs w:val="24"/>
          <w:highlight w:val="none"/>
        </w:rPr>
        <w:t>1.采购人信息</w:t>
      </w:r>
    </w:p>
    <w:p w14:paraId="1E4CAD8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名  称</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吉林艺术学院</w:t>
      </w:r>
      <w:r>
        <w:rPr>
          <w:rFonts w:hint="eastAsia" w:ascii="宋体" w:hAnsi="宋体" w:cs="宋体"/>
          <w:color w:val="auto"/>
          <w:sz w:val="24"/>
          <w:szCs w:val="24"/>
          <w:highlight w:val="none"/>
        </w:rPr>
        <w:t xml:space="preserve"> </w:t>
      </w:r>
    </w:p>
    <w:p w14:paraId="4834826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地  址：吉林省长春市自由大路 695号</w:t>
      </w:r>
    </w:p>
    <w:p w14:paraId="7CADFC5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联系人：杨磊  </w:t>
      </w:r>
    </w:p>
    <w:p w14:paraId="3176975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联系电话：0431-85618205、13069132516</w:t>
      </w:r>
    </w:p>
    <w:p w14:paraId="4CE73209">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吉林艺术学院监督联系电话：0431-85618269、17743101978</w:t>
      </w:r>
    </w:p>
    <w:p w14:paraId="54E3641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eastAsia="zh-CN"/>
        </w:rPr>
      </w:pPr>
      <w:bookmarkStart w:id="29" w:name="_Toc35393807"/>
      <w:bookmarkStart w:id="30" w:name="_Toc28359097"/>
      <w:bookmarkStart w:id="31" w:name="_Toc28359020"/>
      <w:bookmarkStart w:id="32" w:name="_Toc35393638"/>
      <w:r>
        <w:rPr>
          <w:rFonts w:hint="eastAsia" w:ascii="宋体" w:hAnsi="宋体" w:cs="宋体"/>
          <w:color w:val="auto"/>
          <w:sz w:val="24"/>
          <w:szCs w:val="24"/>
          <w:highlight w:val="none"/>
          <w:lang w:eastAsia="zh-CN"/>
        </w:rPr>
        <w:t>2.采购代理机构信息</w:t>
      </w:r>
      <w:bookmarkEnd w:id="29"/>
      <w:bookmarkEnd w:id="30"/>
      <w:bookmarkEnd w:id="31"/>
      <w:bookmarkEnd w:id="32"/>
    </w:p>
    <w:p w14:paraId="0C6A6F0E">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名  称：吉林省智广工程项目管理有限公司</w:t>
      </w:r>
    </w:p>
    <w:p w14:paraId="7E0EE8E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地  址：</w:t>
      </w:r>
      <w:r>
        <w:rPr>
          <w:rFonts w:hint="eastAsia" w:ascii="宋体" w:hAnsi="宋体" w:cs="宋体"/>
          <w:color w:val="auto"/>
          <w:sz w:val="24"/>
          <w:szCs w:val="24"/>
          <w:highlight w:val="none"/>
          <w:lang w:eastAsia="zh-CN"/>
        </w:rPr>
        <w:t>长春市朝阳区卫星路7440号远创国际</w:t>
      </w:r>
      <w:r>
        <w:rPr>
          <w:rFonts w:hint="eastAsia" w:ascii="宋体" w:hAnsi="宋体" w:cs="宋体"/>
          <w:color w:val="auto"/>
          <w:sz w:val="24"/>
          <w:szCs w:val="24"/>
          <w:highlight w:val="none"/>
          <w:lang w:val="en-US" w:eastAsia="zh-CN"/>
        </w:rPr>
        <w:t>大厦13楼</w:t>
      </w:r>
    </w:p>
    <w:p w14:paraId="772DC275">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联系人：</w:t>
      </w:r>
      <w:bookmarkStart w:id="33" w:name="_Toc35393808"/>
      <w:bookmarkStart w:id="34" w:name="_Toc28359098"/>
      <w:bookmarkStart w:id="35" w:name="_Toc35393639"/>
      <w:bookmarkStart w:id="36" w:name="_Toc28359021"/>
      <w:r>
        <w:rPr>
          <w:rFonts w:hint="eastAsia" w:ascii="宋体" w:hAnsi="宋体" w:cs="宋体"/>
          <w:color w:val="auto"/>
          <w:sz w:val="24"/>
          <w:szCs w:val="24"/>
          <w:highlight w:val="none"/>
          <w:lang w:val="en-US" w:eastAsia="zh-CN"/>
        </w:rPr>
        <w:t>于淼</w:t>
      </w:r>
    </w:p>
    <w:bookmarkEnd w:id="33"/>
    <w:bookmarkEnd w:id="34"/>
    <w:bookmarkEnd w:id="35"/>
    <w:bookmarkEnd w:id="36"/>
    <w:p w14:paraId="25878431">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联系电话：0431-88035566</w:t>
      </w:r>
    </w:p>
    <w:p w14:paraId="2CA869CA">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w:t>
      </w:r>
    </w:p>
    <w:p w14:paraId="48E3F39E">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项目联系人：于淼</w:t>
      </w:r>
    </w:p>
    <w:p w14:paraId="73341DF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联系电话：0431-88035566</w:t>
      </w:r>
    </w:p>
    <w:p w14:paraId="63BF5565">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3.监督部门：吉林省财政厅政府采购管理处</w:t>
      </w:r>
    </w:p>
    <w:p w14:paraId="1571BFB0">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7D3213B1">
      <w:pPr>
        <w:pStyle w:val="2"/>
        <w:keepNext/>
        <w:keepLines/>
        <w:pageBreakBefore w:val="0"/>
        <w:kinsoku/>
        <w:wordWrap/>
        <w:overflowPunct/>
        <w:topLinePunct w:val="0"/>
        <w:autoSpaceDE/>
        <w:autoSpaceDN/>
        <w:bidi w:val="0"/>
        <w:adjustRightInd/>
        <w:snapToGrid/>
        <w:spacing w:before="0" w:after="0" w:line="240" w:lineRule="auto"/>
        <w:jc w:val="center"/>
        <w:textAlignment w:val="auto"/>
        <w:rPr>
          <w:rFonts w:ascii="宋体" w:hAnsi="宋体" w:cs="宋体"/>
          <w:color w:val="auto"/>
          <w:sz w:val="36"/>
          <w:szCs w:val="36"/>
          <w:highlight w:val="none"/>
        </w:rPr>
      </w:pPr>
      <w:bookmarkStart w:id="37" w:name="_Toc4759"/>
      <w:r>
        <w:rPr>
          <w:rFonts w:hint="eastAsia" w:ascii="宋体" w:hAnsi="宋体" w:cs="宋体"/>
          <w:color w:val="auto"/>
          <w:sz w:val="36"/>
          <w:szCs w:val="36"/>
          <w:highlight w:val="none"/>
        </w:rPr>
        <w:t>第二部分  供应商须知</w:t>
      </w:r>
      <w:bookmarkEnd w:id="37"/>
    </w:p>
    <w:p w14:paraId="3863D401">
      <w:pPr>
        <w:pStyle w:val="3"/>
        <w:keepNext/>
        <w:keepLines/>
        <w:pageBreakBefore w:val="0"/>
        <w:tabs>
          <w:tab w:val="left" w:pos="360"/>
        </w:tabs>
        <w:kinsoku/>
        <w:wordWrap/>
        <w:overflowPunct/>
        <w:topLinePunct w:val="0"/>
        <w:autoSpaceDE/>
        <w:autoSpaceDN/>
        <w:bidi w:val="0"/>
        <w:adjustRightInd/>
        <w:snapToGrid/>
        <w:spacing w:line="240" w:lineRule="auto"/>
        <w:ind w:left="0" w:leftChars="0" w:firstLine="0" w:firstLineChars="0"/>
        <w:textAlignment w:val="auto"/>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一、供应商须知前附表</w:t>
      </w:r>
    </w:p>
    <w:tbl>
      <w:tblPr>
        <w:tblStyle w:val="43"/>
        <w:tblW w:w="505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44"/>
        <w:gridCol w:w="2159"/>
        <w:gridCol w:w="6850"/>
      </w:tblGrid>
      <w:tr w14:paraId="26790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 w:type="pct"/>
            <w:tcBorders>
              <w:top w:val="single" w:color="auto" w:sz="4" w:space="0"/>
              <w:left w:val="single" w:color="auto" w:sz="4" w:space="0"/>
              <w:bottom w:val="single" w:color="auto" w:sz="4" w:space="0"/>
              <w:right w:val="single" w:color="auto" w:sz="4" w:space="0"/>
            </w:tcBorders>
            <w:vAlign w:val="center"/>
          </w:tcPr>
          <w:p w14:paraId="4ED83901">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p w14:paraId="22902DB4">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w:t>
            </w:r>
          </w:p>
        </w:tc>
        <w:tc>
          <w:tcPr>
            <w:tcW w:w="1130" w:type="pct"/>
            <w:tcBorders>
              <w:top w:val="single" w:color="auto" w:sz="4" w:space="0"/>
              <w:left w:val="single" w:color="auto" w:sz="4" w:space="0"/>
              <w:bottom w:val="single" w:color="auto" w:sz="4" w:space="0"/>
              <w:right w:val="single" w:color="auto" w:sz="4" w:space="0"/>
            </w:tcBorders>
            <w:vAlign w:val="center"/>
          </w:tcPr>
          <w:p w14:paraId="39941298">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c>
          <w:tcPr>
            <w:tcW w:w="3583" w:type="pct"/>
            <w:tcBorders>
              <w:top w:val="single" w:color="auto" w:sz="4" w:space="0"/>
              <w:left w:val="single" w:color="auto" w:sz="4" w:space="0"/>
              <w:bottom w:val="single" w:color="auto" w:sz="4" w:space="0"/>
              <w:right w:val="single" w:color="auto" w:sz="4" w:space="0"/>
            </w:tcBorders>
            <w:vAlign w:val="center"/>
          </w:tcPr>
          <w:p w14:paraId="20B0428C">
            <w:pPr>
              <w:keepNext w:val="0"/>
              <w:keepLines w:val="0"/>
              <w:pageBreakBefore w:val="0"/>
              <w:tabs>
                <w:tab w:val="left" w:pos="118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说明与要求</w:t>
            </w:r>
          </w:p>
        </w:tc>
      </w:tr>
      <w:tr w14:paraId="37219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85" w:type="pct"/>
            <w:vMerge w:val="restart"/>
            <w:tcBorders>
              <w:top w:val="single" w:color="auto" w:sz="4" w:space="0"/>
              <w:left w:val="single" w:color="auto" w:sz="4" w:space="0"/>
              <w:right w:val="single" w:color="auto" w:sz="4" w:space="0"/>
            </w:tcBorders>
            <w:vAlign w:val="center"/>
          </w:tcPr>
          <w:p w14:paraId="3E602AF8">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30" w:type="pct"/>
            <w:tcBorders>
              <w:top w:val="single" w:color="auto" w:sz="4" w:space="0"/>
              <w:left w:val="single" w:color="auto" w:sz="4" w:space="0"/>
              <w:bottom w:val="single" w:color="auto" w:sz="4" w:space="0"/>
              <w:right w:val="single" w:color="auto" w:sz="4" w:space="0"/>
            </w:tcBorders>
            <w:vAlign w:val="center"/>
          </w:tcPr>
          <w:p w14:paraId="31888920">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3583" w:type="pct"/>
            <w:tcBorders>
              <w:top w:val="single" w:color="auto" w:sz="4" w:space="0"/>
              <w:left w:val="single" w:color="auto" w:sz="4" w:space="0"/>
              <w:bottom w:val="single" w:color="auto" w:sz="4" w:space="0"/>
              <w:right w:val="single" w:color="auto" w:sz="4" w:space="0"/>
            </w:tcBorders>
            <w:vAlign w:val="center"/>
          </w:tcPr>
          <w:p w14:paraId="3B915A7C">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采</w:t>
            </w:r>
            <w:r>
              <w:rPr>
                <w:rFonts w:hint="eastAsia" w:ascii="宋体" w:hAnsi="宋体" w:eastAsia="宋体" w:cs="宋体"/>
                <w:color w:val="auto"/>
                <w:sz w:val="24"/>
                <w:szCs w:val="24"/>
                <w:highlight w:val="none"/>
                <w:lang w:eastAsia="zh-CN"/>
              </w:rPr>
              <w:t>购人：</w:t>
            </w:r>
            <w:r>
              <w:rPr>
                <w:rFonts w:hint="eastAsia" w:ascii="宋体" w:hAnsi="宋体" w:cs="宋体"/>
                <w:color w:val="auto"/>
                <w:sz w:val="24"/>
                <w:szCs w:val="24"/>
                <w:highlight w:val="none"/>
                <w:lang w:eastAsia="zh-CN"/>
              </w:rPr>
              <w:t>吉林艺术学院</w:t>
            </w:r>
            <w:r>
              <w:rPr>
                <w:rFonts w:hint="eastAsia" w:ascii="宋体" w:hAnsi="宋体" w:eastAsia="宋体" w:cs="宋体"/>
                <w:color w:val="auto"/>
                <w:sz w:val="24"/>
                <w:szCs w:val="24"/>
                <w:highlight w:val="none"/>
                <w:lang w:eastAsia="zh-CN"/>
              </w:rPr>
              <w:t xml:space="preserve"> </w:t>
            </w:r>
          </w:p>
          <w:p w14:paraId="262D08A4">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w:t>
            </w:r>
            <w:r>
              <w:rPr>
                <w:rFonts w:hint="eastAsia" w:ascii="宋体" w:hAnsi="宋体" w:cs="宋体"/>
                <w:color w:val="auto"/>
                <w:sz w:val="24"/>
                <w:szCs w:val="24"/>
                <w:highlight w:val="none"/>
              </w:rPr>
              <w:t>吉林省长春市自由大路 695号</w:t>
            </w:r>
          </w:p>
          <w:p w14:paraId="04659085">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cs="宋体"/>
                <w:color w:val="auto"/>
                <w:sz w:val="24"/>
                <w:szCs w:val="24"/>
                <w:highlight w:val="none"/>
              </w:rPr>
              <w:t>杨磊</w:t>
            </w:r>
            <w:r>
              <w:rPr>
                <w:rFonts w:hint="eastAsia" w:ascii="宋体" w:hAnsi="宋体" w:eastAsia="宋体" w:cs="宋体"/>
                <w:color w:val="auto"/>
                <w:sz w:val="24"/>
                <w:szCs w:val="24"/>
                <w:highlight w:val="none"/>
                <w:lang w:eastAsia="zh-CN"/>
              </w:rPr>
              <w:t xml:space="preserve">   </w:t>
            </w:r>
          </w:p>
          <w:p w14:paraId="3D607A0E">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联系电话：0431-85618205、13069132516</w:t>
            </w:r>
          </w:p>
        </w:tc>
      </w:tr>
      <w:tr w14:paraId="31BA6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85" w:type="pct"/>
            <w:vMerge w:val="continue"/>
            <w:tcBorders>
              <w:left w:val="single" w:color="auto" w:sz="4" w:space="0"/>
              <w:bottom w:val="single" w:color="auto" w:sz="4" w:space="0"/>
              <w:right w:val="single" w:color="auto" w:sz="4" w:space="0"/>
            </w:tcBorders>
            <w:vAlign w:val="center"/>
          </w:tcPr>
          <w:p w14:paraId="3B602650">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p>
        </w:tc>
        <w:tc>
          <w:tcPr>
            <w:tcW w:w="1130" w:type="pct"/>
            <w:tcBorders>
              <w:top w:val="single" w:color="auto" w:sz="4" w:space="0"/>
              <w:left w:val="single" w:color="auto" w:sz="4" w:space="0"/>
              <w:bottom w:val="single" w:color="auto" w:sz="4" w:space="0"/>
              <w:right w:val="single" w:color="auto" w:sz="4" w:space="0"/>
            </w:tcBorders>
            <w:vAlign w:val="center"/>
          </w:tcPr>
          <w:p w14:paraId="58F5F4F8">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3583" w:type="pct"/>
            <w:tcBorders>
              <w:top w:val="single" w:color="auto" w:sz="4" w:space="0"/>
              <w:left w:val="single" w:color="auto" w:sz="4" w:space="0"/>
              <w:bottom w:val="single" w:color="auto" w:sz="4" w:space="0"/>
              <w:right w:val="single" w:color="auto" w:sz="4" w:space="0"/>
            </w:tcBorders>
            <w:vAlign w:val="center"/>
          </w:tcPr>
          <w:p w14:paraId="44172EF3">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采购代理机构: </w:t>
            </w:r>
            <w:r>
              <w:rPr>
                <w:rFonts w:hint="eastAsia" w:ascii="宋体" w:hAnsi="宋体" w:cs="宋体"/>
                <w:color w:val="auto"/>
                <w:sz w:val="24"/>
                <w:szCs w:val="24"/>
                <w:highlight w:val="none"/>
                <w:lang w:eastAsia="zh-CN"/>
              </w:rPr>
              <w:t>吉林省智广工程项目管理有限公司</w:t>
            </w:r>
          </w:p>
          <w:p w14:paraId="1F84FBCE">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长春市朝阳区卫星路7440号远创国际</w:t>
            </w:r>
            <w:r>
              <w:rPr>
                <w:rFonts w:hint="eastAsia" w:ascii="宋体" w:hAnsi="宋体" w:eastAsia="宋体" w:cs="宋体"/>
                <w:color w:val="auto"/>
                <w:sz w:val="24"/>
                <w:szCs w:val="24"/>
                <w:highlight w:val="none"/>
                <w:lang w:val="en-US" w:eastAsia="zh-CN"/>
              </w:rPr>
              <w:t>大厦13楼</w:t>
            </w:r>
            <w:r>
              <w:rPr>
                <w:rFonts w:hint="eastAsia" w:ascii="宋体" w:hAnsi="宋体" w:eastAsia="宋体" w:cs="宋体"/>
                <w:color w:val="auto"/>
                <w:sz w:val="24"/>
                <w:szCs w:val="24"/>
                <w:highlight w:val="none"/>
              </w:rPr>
              <w:t xml:space="preserve">  </w:t>
            </w:r>
          </w:p>
          <w:p w14:paraId="104628F4">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0431-88035566</w:t>
            </w:r>
          </w:p>
        </w:tc>
      </w:tr>
      <w:tr w14:paraId="4A062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5" w:type="pct"/>
            <w:tcBorders>
              <w:top w:val="single" w:color="auto" w:sz="4" w:space="0"/>
              <w:left w:val="single" w:color="auto" w:sz="4" w:space="0"/>
              <w:bottom w:val="single" w:color="auto" w:sz="4" w:space="0"/>
              <w:right w:val="single" w:color="auto" w:sz="4" w:space="0"/>
            </w:tcBorders>
            <w:vAlign w:val="center"/>
          </w:tcPr>
          <w:p w14:paraId="1A2697AF">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30" w:type="pct"/>
            <w:tcBorders>
              <w:top w:val="single" w:color="auto" w:sz="4" w:space="0"/>
              <w:left w:val="single" w:color="auto" w:sz="4" w:space="0"/>
              <w:bottom w:val="single" w:color="auto" w:sz="4" w:space="0"/>
              <w:right w:val="single" w:color="auto" w:sz="4" w:space="0"/>
            </w:tcBorders>
            <w:vAlign w:val="center"/>
          </w:tcPr>
          <w:p w14:paraId="70EDF7B3">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3583" w:type="pct"/>
            <w:tcBorders>
              <w:top w:val="single" w:color="auto" w:sz="4" w:space="0"/>
              <w:left w:val="single" w:color="auto" w:sz="4" w:space="0"/>
              <w:bottom w:val="single" w:color="auto" w:sz="4" w:space="0"/>
              <w:right w:val="single" w:color="auto" w:sz="4" w:space="0"/>
            </w:tcBorders>
            <w:vAlign w:val="center"/>
          </w:tcPr>
          <w:p w14:paraId="55718F29">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采购计划-[2025]-08792号-JLZG-20250625</w:t>
            </w:r>
          </w:p>
        </w:tc>
      </w:tr>
      <w:tr w14:paraId="0CE97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5" w:type="pct"/>
            <w:tcBorders>
              <w:top w:val="single" w:color="auto" w:sz="4" w:space="0"/>
              <w:left w:val="single" w:color="auto" w:sz="4" w:space="0"/>
              <w:bottom w:val="single" w:color="auto" w:sz="4" w:space="0"/>
              <w:right w:val="single" w:color="auto" w:sz="4" w:space="0"/>
            </w:tcBorders>
            <w:vAlign w:val="center"/>
          </w:tcPr>
          <w:p w14:paraId="7CCE4257">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30" w:type="pct"/>
            <w:tcBorders>
              <w:top w:val="single" w:color="auto" w:sz="4" w:space="0"/>
              <w:left w:val="single" w:color="auto" w:sz="4" w:space="0"/>
              <w:bottom w:val="single" w:color="auto" w:sz="4" w:space="0"/>
              <w:right w:val="single" w:color="auto" w:sz="4" w:space="0"/>
            </w:tcBorders>
            <w:vAlign w:val="center"/>
          </w:tcPr>
          <w:p w14:paraId="10FB767E">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583" w:type="pct"/>
            <w:tcBorders>
              <w:top w:val="single" w:color="auto" w:sz="4" w:space="0"/>
              <w:left w:val="single" w:color="auto" w:sz="4" w:space="0"/>
              <w:bottom w:val="single" w:color="auto" w:sz="4" w:space="0"/>
              <w:right w:val="single" w:color="auto" w:sz="4" w:space="0"/>
            </w:tcBorders>
            <w:vAlign w:val="center"/>
          </w:tcPr>
          <w:p w14:paraId="6F0901C3">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吉林艺术学院繁荣校区食堂厨房和餐厅设备项目</w:t>
            </w:r>
          </w:p>
        </w:tc>
      </w:tr>
      <w:tr w14:paraId="408D5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285" w:type="pct"/>
            <w:tcBorders>
              <w:top w:val="single" w:color="auto" w:sz="4" w:space="0"/>
              <w:left w:val="single" w:color="auto" w:sz="4" w:space="0"/>
              <w:right w:val="single" w:color="auto" w:sz="4" w:space="0"/>
            </w:tcBorders>
            <w:vAlign w:val="center"/>
          </w:tcPr>
          <w:p w14:paraId="36EAC5BC">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30" w:type="pct"/>
            <w:tcBorders>
              <w:top w:val="single" w:color="auto" w:sz="4" w:space="0"/>
              <w:left w:val="single" w:color="auto" w:sz="4" w:space="0"/>
              <w:right w:val="single" w:color="auto" w:sz="4" w:space="0"/>
            </w:tcBorders>
            <w:shd w:val="clear" w:color="auto" w:fill="auto"/>
            <w:vAlign w:val="center"/>
          </w:tcPr>
          <w:p w14:paraId="38956515">
            <w:pPr>
              <w:keepNext w:val="0"/>
              <w:keepLines w:val="0"/>
              <w:pageBreakBefore w:val="0"/>
              <w:kinsoku/>
              <w:overflowPunct/>
              <w:topLinePunct w:val="0"/>
              <w:bidi w:val="0"/>
              <w:spacing w:line="312"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预算金额</w:t>
            </w:r>
          </w:p>
          <w:p w14:paraId="53FE2351">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（最高限价）</w:t>
            </w:r>
          </w:p>
        </w:tc>
        <w:tc>
          <w:tcPr>
            <w:tcW w:w="3583" w:type="pct"/>
            <w:tcBorders>
              <w:top w:val="single" w:color="auto" w:sz="4" w:space="0"/>
              <w:left w:val="single" w:color="auto" w:sz="4" w:space="0"/>
              <w:bottom w:val="single" w:color="auto" w:sz="4" w:space="0"/>
              <w:right w:val="single" w:color="auto" w:sz="4" w:space="0"/>
            </w:tcBorders>
            <w:shd w:val="clear" w:color="auto" w:fill="auto"/>
            <w:vAlign w:val="center"/>
          </w:tcPr>
          <w:p w14:paraId="2AF7277C">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rPr>
            </w:pPr>
            <w:r>
              <w:rPr>
                <w:rFonts w:hint="eastAsia" w:ascii="宋体" w:hAnsi="宋体"/>
                <w:color w:val="auto"/>
                <w:sz w:val="24"/>
                <w:szCs w:val="24"/>
                <w:highlight w:val="none"/>
              </w:rPr>
              <w:t>466248.00</w:t>
            </w:r>
            <w:r>
              <w:rPr>
                <w:rFonts w:hint="eastAsia" w:ascii="宋体" w:hAnsi="宋体" w:eastAsia="宋体" w:cs="宋体"/>
                <w:color w:val="auto"/>
                <w:sz w:val="24"/>
                <w:szCs w:val="24"/>
                <w:highlight w:val="none"/>
              </w:rPr>
              <w:t>元</w:t>
            </w:r>
          </w:p>
          <w:p w14:paraId="04090DB0">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注：投标供应商所报价格不得超过</w:t>
            </w:r>
            <w:r>
              <w:rPr>
                <w:rFonts w:hint="eastAsia" w:ascii="宋体" w:hAnsi="宋体" w:eastAsia="宋体" w:cs="宋体"/>
                <w:color w:val="auto"/>
                <w:sz w:val="24"/>
                <w:szCs w:val="24"/>
                <w:highlight w:val="none"/>
                <w:lang w:val="zh-CN"/>
              </w:rPr>
              <w:t>预算金额</w:t>
            </w:r>
            <w:r>
              <w:rPr>
                <w:rFonts w:hint="eastAsia" w:ascii="宋体" w:hAnsi="宋体" w:eastAsia="宋体" w:cs="宋体"/>
                <w:color w:val="auto"/>
                <w:sz w:val="24"/>
                <w:szCs w:val="24"/>
                <w:highlight w:val="none"/>
              </w:rPr>
              <w:t>，否则按废标处理。</w:t>
            </w:r>
          </w:p>
        </w:tc>
      </w:tr>
      <w:tr w14:paraId="54402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5" w:type="pct"/>
            <w:tcBorders>
              <w:top w:val="single" w:color="auto" w:sz="4" w:space="0"/>
              <w:left w:val="single" w:color="auto" w:sz="4" w:space="0"/>
              <w:bottom w:val="single" w:color="auto" w:sz="4" w:space="0"/>
              <w:right w:val="single" w:color="auto" w:sz="4" w:space="0"/>
            </w:tcBorders>
            <w:vAlign w:val="center"/>
          </w:tcPr>
          <w:p w14:paraId="4F3F452C">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30" w:type="pct"/>
            <w:tcBorders>
              <w:top w:val="single" w:color="auto" w:sz="4" w:space="0"/>
              <w:left w:val="single" w:color="auto" w:sz="4" w:space="0"/>
              <w:bottom w:val="single" w:color="auto" w:sz="4" w:space="0"/>
              <w:right w:val="single" w:color="auto" w:sz="4" w:space="0"/>
            </w:tcBorders>
            <w:shd w:val="clear" w:color="auto" w:fill="auto"/>
            <w:vAlign w:val="center"/>
          </w:tcPr>
          <w:p w14:paraId="7958F1E8">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zh-CN" w:eastAsia="zh-CN"/>
              </w:rPr>
              <w:t>供货地点</w:t>
            </w:r>
          </w:p>
        </w:tc>
        <w:tc>
          <w:tcPr>
            <w:tcW w:w="3583" w:type="pct"/>
            <w:tcBorders>
              <w:top w:val="single" w:color="auto" w:sz="4" w:space="0"/>
              <w:left w:val="single" w:color="auto" w:sz="4" w:space="0"/>
              <w:bottom w:val="single" w:color="auto" w:sz="4" w:space="0"/>
              <w:right w:val="single" w:color="auto" w:sz="4" w:space="0"/>
            </w:tcBorders>
            <w:shd w:val="clear" w:color="auto" w:fill="auto"/>
            <w:vAlign w:val="center"/>
          </w:tcPr>
          <w:p w14:paraId="06404AD3">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吉林艺术学院繁荣校区</w:t>
            </w:r>
          </w:p>
        </w:tc>
      </w:tr>
      <w:tr w14:paraId="4B231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5" w:type="pct"/>
            <w:tcBorders>
              <w:top w:val="single" w:color="auto" w:sz="4" w:space="0"/>
              <w:left w:val="single" w:color="auto" w:sz="4" w:space="0"/>
              <w:bottom w:val="single" w:color="auto" w:sz="4" w:space="0"/>
              <w:right w:val="single" w:color="auto" w:sz="4" w:space="0"/>
            </w:tcBorders>
            <w:vAlign w:val="center"/>
          </w:tcPr>
          <w:p w14:paraId="333972CA">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130" w:type="pct"/>
            <w:tcBorders>
              <w:top w:val="single" w:color="auto" w:sz="4" w:space="0"/>
              <w:left w:val="single" w:color="auto" w:sz="4" w:space="0"/>
              <w:bottom w:val="single" w:color="auto" w:sz="4" w:space="0"/>
              <w:right w:val="single" w:color="auto" w:sz="4" w:space="0"/>
            </w:tcBorders>
            <w:shd w:val="clear" w:color="auto" w:fill="auto"/>
            <w:vAlign w:val="center"/>
          </w:tcPr>
          <w:p w14:paraId="10319B11">
            <w:pPr>
              <w:keepNext w:val="0"/>
              <w:keepLines w:val="0"/>
              <w:pageBreakBefore w:val="0"/>
              <w:kinsoku/>
              <w:overflowPunct/>
              <w:topLinePunct w:val="0"/>
              <w:bidi w:val="0"/>
              <w:spacing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服务标准</w:t>
            </w:r>
          </w:p>
        </w:tc>
        <w:tc>
          <w:tcPr>
            <w:tcW w:w="3583" w:type="pct"/>
            <w:tcBorders>
              <w:top w:val="single" w:color="auto" w:sz="4" w:space="0"/>
              <w:left w:val="single" w:color="auto" w:sz="4" w:space="0"/>
              <w:bottom w:val="single" w:color="auto" w:sz="4" w:space="0"/>
              <w:right w:val="single" w:color="auto" w:sz="4" w:space="0"/>
            </w:tcBorders>
            <w:shd w:val="clear" w:color="auto" w:fill="auto"/>
            <w:vAlign w:val="center"/>
          </w:tcPr>
          <w:p w14:paraId="762D7728">
            <w:pPr>
              <w:pStyle w:val="14"/>
              <w:keepNext w:val="0"/>
              <w:keepLines w:val="0"/>
              <w:pageBreakBefore w:val="0"/>
              <w:kinsoku/>
              <w:overflowPunct/>
              <w:topLinePunct w:val="0"/>
              <w:bidi w:val="0"/>
              <w:spacing w:line="312" w:lineRule="auto"/>
              <w:jc w:val="both"/>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合格标准。</w:t>
            </w:r>
          </w:p>
        </w:tc>
      </w:tr>
      <w:tr w14:paraId="3D7C0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5" w:type="pct"/>
            <w:tcBorders>
              <w:top w:val="single" w:color="auto" w:sz="4" w:space="0"/>
              <w:left w:val="single" w:color="auto" w:sz="4" w:space="0"/>
              <w:bottom w:val="single" w:color="auto" w:sz="4" w:space="0"/>
              <w:right w:val="single" w:color="auto" w:sz="4" w:space="0"/>
            </w:tcBorders>
            <w:vAlign w:val="center"/>
          </w:tcPr>
          <w:p w14:paraId="2110C8B1">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130" w:type="pct"/>
            <w:tcBorders>
              <w:top w:val="single" w:color="auto" w:sz="4" w:space="0"/>
              <w:left w:val="single" w:color="auto" w:sz="4" w:space="0"/>
              <w:bottom w:val="single" w:color="auto" w:sz="4" w:space="0"/>
              <w:right w:val="single" w:color="auto" w:sz="4" w:space="0"/>
            </w:tcBorders>
            <w:shd w:val="clear" w:color="auto" w:fill="auto"/>
            <w:vAlign w:val="center"/>
          </w:tcPr>
          <w:p w14:paraId="6C180425">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采购需求</w:t>
            </w:r>
          </w:p>
        </w:tc>
        <w:tc>
          <w:tcPr>
            <w:tcW w:w="3583" w:type="pct"/>
            <w:tcBorders>
              <w:top w:val="single" w:color="auto" w:sz="4" w:space="0"/>
              <w:left w:val="single" w:color="auto" w:sz="4" w:space="0"/>
              <w:bottom w:val="single" w:color="auto" w:sz="4" w:space="0"/>
              <w:right w:val="single" w:color="auto" w:sz="4" w:space="0"/>
            </w:tcBorders>
            <w:shd w:val="clear" w:color="auto" w:fill="auto"/>
            <w:vAlign w:val="center"/>
          </w:tcPr>
          <w:p w14:paraId="73A93D5E">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color w:val="auto"/>
                <w:sz w:val="24"/>
                <w:szCs w:val="24"/>
                <w:highlight w:val="none"/>
              </w:rPr>
              <w:t>吉林艺术学院繁荣校区食堂厨房和餐厅设备</w:t>
            </w:r>
            <w:r>
              <w:rPr>
                <w:rFonts w:hint="eastAsia" w:ascii="宋体" w:hAnsi="宋体" w:eastAsia="宋体" w:cs="宋体"/>
                <w:color w:val="auto"/>
                <w:sz w:val="24"/>
                <w:szCs w:val="24"/>
                <w:highlight w:val="none"/>
                <w:lang w:val="en-US" w:eastAsia="zh-CN" w:bidi="ar-SA"/>
              </w:rPr>
              <w:t>。(详见招标文件第四章“</w:t>
            </w:r>
            <w:r>
              <w:rPr>
                <w:rFonts w:hint="eastAsia" w:ascii="宋体" w:hAnsi="宋体" w:cs="宋体"/>
                <w:color w:val="auto"/>
                <w:sz w:val="24"/>
                <w:szCs w:val="24"/>
                <w:highlight w:val="none"/>
                <w:lang w:val="en-US" w:eastAsia="zh-CN" w:bidi="ar-SA"/>
              </w:rPr>
              <w:t>采购</w:t>
            </w:r>
            <w:r>
              <w:rPr>
                <w:rFonts w:hint="eastAsia" w:ascii="宋体" w:hAnsi="宋体" w:eastAsia="宋体" w:cs="宋体"/>
                <w:color w:val="auto"/>
                <w:sz w:val="24"/>
                <w:szCs w:val="24"/>
                <w:highlight w:val="none"/>
                <w:lang w:val="en-US" w:eastAsia="zh-CN" w:bidi="ar-SA"/>
              </w:rPr>
              <w:t>需求”)；</w:t>
            </w:r>
          </w:p>
        </w:tc>
      </w:tr>
      <w:tr w14:paraId="45518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5" w:type="pct"/>
            <w:tcBorders>
              <w:top w:val="single" w:color="auto" w:sz="4" w:space="0"/>
              <w:left w:val="single" w:color="auto" w:sz="4" w:space="0"/>
              <w:bottom w:val="single" w:color="auto" w:sz="4" w:space="0"/>
              <w:right w:val="single" w:color="auto" w:sz="4" w:space="0"/>
            </w:tcBorders>
            <w:vAlign w:val="center"/>
          </w:tcPr>
          <w:p w14:paraId="3FD10FA4">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30" w:type="pct"/>
            <w:tcBorders>
              <w:top w:val="single" w:color="auto" w:sz="4" w:space="0"/>
              <w:left w:val="single" w:color="auto" w:sz="4" w:space="0"/>
              <w:bottom w:val="single" w:color="auto" w:sz="4" w:space="0"/>
              <w:right w:val="single" w:color="auto" w:sz="4" w:space="0"/>
            </w:tcBorders>
            <w:shd w:val="clear" w:color="auto" w:fill="auto"/>
            <w:vAlign w:val="center"/>
          </w:tcPr>
          <w:p w14:paraId="22702690">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cs="Times New Roman"/>
                <w:color w:val="auto"/>
                <w:kern w:val="0"/>
                <w:sz w:val="24"/>
                <w:szCs w:val="24"/>
                <w:highlight w:val="none"/>
                <w:lang w:val="zh-CN" w:eastAsia="zh-CN" w:bidi="ar-SA"/>
              </w:rPr>
              <w:t>供货时间</w:t>
            </w:r>
          </w:p>
        </w:tc>
        <w:tc>
          <w:tcPr>
            <w:tcW w:w="3583" w:type="pct"/>
            <w:tcBorders>
              <w:top w:val="single" w:color="auto" w:sz="4" w:space="0"/>
              <w:left w:val="single" w:color="auto" w:sz="4" w:space="0"/>
              <w:bottom w:val="single" w:color="auto" w:sz="4" w:space="0"/>
              <w:right w:val="single" w:color="auto" w:sz="4" w:space="0"/>
            </w:tcBorders>
            <w:shd w:val="clear" w:color="auto" w:fill="auto"/>
            <w:vAlign w:val="center"/>
          </w:tcPr>
          <w:p w14:paraId="37FC1E59">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rPr>
            </w:pPr>
            <w:r>
              <w:rPr>
                <w:rFonts w:hint="eastAsia" w:ascii="宋体" w:hAnsi="宋体" w:eastAsia="宋体" w:cs="Times New Roman"/>
                <w:color w:val="auto"/>
                <w:kern w:val="0"/>
                <w:sz w:val="24"/>
                <w:szCs w:val="24"/>
                <w:highlight w:val="none"/>
                <w:lang w:val="zh-CN" w:eastAsia="zh-CN" w:bidi="ar-SA"/>
              </w:rPr>
              <w:t>合同订立后</w:t>
            </w:r>
            <w:r>
              <w:rPr>
                <w:rFonts w:hint="eastAsia" w:ascii="宋体" w:hAnsi="宋体" w:cs="Times New Roman"/>
                <w:color w:val="auto"/>
                <w:kern w:val="0"/>
                <w:sz w:val="24"/>
                <w:szCs w:val="24"/>
                <w:highlight w:val="none"/>
                <w:lang w:val="en-US" w:eastAsia="zh-CN" w:bidi="ar-SA"/>
              </w:rPr>
              <w:t>30</w:t>
            </w:r>
            <w:r>
              <w:rPr>
                <w:rFonts w:hint="eastAsia" w:ascii="宋体" w:hAnsi="宋体" w:eastAsia="宋体" w:cs="Times New Roman"/>
                <w:color w:val="auto"/>
                <w:kern w:val="0"/>
                <w:sz w:val="24"/>
                <w:szCs w:val="24"/>
                <w:highlight w:val="none"/>
                <w:lang w:val="zh-CN" w:eastAsia="zh-CN" w:bidi="ar-SA"/>
              </w:rPr>
              <w:t>天内完成</w:t>
            </w:r>
            <w:r>
              <w:rPr>
                <w:rFonts w:hint="eastAsia" w:ascii="宋体" w:hAnsi="宋体" w:cs="Times New Roman"/>
                <w:color w:val="auto"/>
                <w:kern w:val="0"/>
                <w:sz w:val="24"/>
                <w:szCs w:val="24"/>
                <w:highlight w:val="none"/>
                <w:lang w:val="en-US" w:eastAsia="zh-CN" w:bidi="ar-SA"/>
              </w:rPr>
              <w:t>送货安装</w:t>
            </w:r>
            <w:r>
              <w:rPr>
                <w:rFonts w:hint="eastAsia" w:ascii="宋体" w:hAnsi="宋体" w:eastAsia="宋体" w:cs="Times New Roman"/>
                <w:color w:val="auto"/>
                <w:kern w:val="0"/>
                <w:sz w:val="24"/>
                <w:szCs w:val="24"/>
                <w:highlight w:val="none"/>
                <w:lang w:val="en-US" w:eastAsia="zh-CN" w:bidi="ar-SA"/>
              </w:rPr>
              <w:t>；</w:t>
            </w:r>
          </w:p>
        </w:tc>
      </w:tr>
      <w:tr w14:paraId="2D13B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5" w:type="pct"/>
            <w:tcBorders>
              <w:top w:val="single" w:color="auto" w:sz="4" w:space="0"/>
              <w:left w:val="single" w:color="auto" w:sz="4" w:space="0"/>
              <w:bottom w:val="single" w:color="auto" w:sz="4" w:space="0"/>
              <w:right w:val="single" w:color="auto" w:sz="4" w:space="0"/>
            </w:tcBorders>
            <w:vAlign w:val="center"/>
          </w:tcPr>
          <w:p w14:paraId="09439028">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130" w:type="pct"/>
            <w:tcBorders>
              <w:top w:val="single" w:color="auto" w:sz="4" w:space="0"/>
              <w:left w:val="single" w:color="auto" w:sz="4" w:space="0"/>
              <w:bottom w:val="single" w:color="auto" w:sz="4" w:space="0"/>
              <w:right w:val="single" w:color="auto" w:sz="4" w:space="0"/>
            </w:tcBorders>
            <w:shd w:val="clear" w:color="auto" w:fill="auto"/>
            <w:vAlign w:val="center"/>
          </w:tcPr>
          <w:p w14:paraId="7A36CC6F">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资金来源</w:t>
            </w:r>
          </w:p>
        </w:tc>
        <w:tc>
          <w:tcPr>
            <w:tcW w:w="3583" w:type="pct"/>
            <w:tcBorders>
              <w:top w:val="single" w:color="auto" w:sz="4" w:space="0"/>
              <w:left w:val="single" w:color="auto" w:sz="4" w:space="0"/>
              <w:bottom w:val="single" w:color="auto" w:sz="4" w:space="0"/>
              <w:right w:val="single" w:color="auto" w:sz="4" w:space="0"/>
            </w:tcBorders>
            <w:shd w:val="clear" w:color="auto" w:fill="auto"/>
            <w:vAlign w:val="center"/>
          </w:tcPr>
          <w:p w14:paraId="636DA296">
            <w:pPr>
              <w:keepNext w:val="0"/>
              <w:keepLines w:val="0"/>
              <w:pageBreakBefore w:val="0"/>
              <w:kinsoku/>
              <w:overflowPunct/>
              <w:topLinePunct w:val="0"/>
              <w:bidi w:val="0"/>
              <w:spacing w:line="312" w:lineRule="auto"/>
              <w:jc w:val="both"/>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rPr>
              <w:t>财政资金</w:t>
            </w:r>
            <w:r>
              <w:rPr>
                <w:rFonts w:hint="eastAsia" w:ascii="宋体" w:hAnsi="宋体" w:cs="宋体"/>
                <w:bCs/>
                <w:color w:val="auto"/>
                <w:sz w:val="24"/>
                <w:szCs w:val="24"/>
                <w:highlight w:val="none"/>
                <w:lang w:eastAsia="zh-CN"/>
              </w:rPr>
              <w:t>。</w:t>
            </w:r>
          </w:p>
        </w:tc>
      </w:tr>
      <w:tr w14:paraId="74236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5" w:type="pct"/>
            <w:tcBorders>
              <w:top w:val="single" w:color="auto" w:sz="4" w:space="0"/>
              <w:left w:val="single" w:color="auto" w:sz="4" w:space="0"/>
              <w:right w:val="single" w:color="auto" w:sz="4" w:space="0"/>
            </w:tcBorders>
            <w:vAlign w:val="center"/>
          </w:tcPr>
          <w:p w14:paraId="4E185532">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130" w:type="pct"/>
            <w:tcBorders>
              <w:top w:val="single" w:color="auto" w:sz="4" w:space="0"/>
              <w:left w:val="single" w:color="auto" w:sz="4" w:space="0"/>
              <w:right w:val="single" w:color="auto" w:sz="4" w:space="0"/>
            </w:tcBorders>
            <w:shd w:val="clear" w:color="auto" w:fill="auto"/>
            <w:vAlign w:val="center"/>
          </w:tcPr>
          <w:p w14:paraId="24E95FF1">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供应商资格要求</w:t>
            </w:r>
          </w:p>
        </w:tc>
        <w:tc>
          <w:tcPr>
            <w:tcW w:w="3583" w:type="pct"/>
            <w:tcBorders>
              <w:top w:val="single" w:color="auto" w:sz="4" w:space="0"/>
              <w:left w:val="single" w:color="auto" w:sz="4" w:space="0"/>
              <w:bottom w:val="single" w:color="auto" w:sz="4" w:space="0"/>
              <w:right w:val="single" w:color="auto" w:sz="4" w:space="0"/>
            </w:tcBorders>
            <w:shd w:val="clear" w:color="auto" w:fill="auto"/>
            <w:vAlign w:val="center"/>
          </w:tcPr>
          <w:p w14:paraId="68515C14">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1.满足《中华人民共和国政府采购法》第二十二条规定；</w:t>
            </w:r>
          </w:p>
          <w:p w14:paraId="3E89CF77">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2.落实政府采购政策需满足的资格要求：本项目非专门面向中小企业；</w:t>
            </w:r>
          </w:p>
          <w:p w14:paraId="383B7FB2">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需要落实的政府采购政策：《政府采购促进中小企业发展管理办法》(财库[2020]46号) 、《关于进一步加大政府采购支持中小企业力度的通知》（财库[2022]19号）、《关于政府采购支持监狱企业发展有关问题的通知》(财库〔2014〕68 号)、《关于促进残疾人就业政府采购政策的通知》（财库〔2017〕141 号)、《关于调整优化节能产品、环境标志产品政府采购执行机制的通知》（财库〔2019〕9号）等。专门面向中小企业采购的项目或者采购包，不再执行价格评审优惠的扶持政策。</w:t>
            </w:r>
          </w:p>
          <w:p w14:paraId="182893FE">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3.本项目的特定资格要求：</w:t>
            </w:r>
          </w:p>
          <w:p w14:paraId="69A16D12">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3.1财务要求：近年（202</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年）经会计师事务所出具的财务审计报告（若投标人为202</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年</w:t>
            </w:r>
            <w:r>
              <w:rPr>
                <w:rFonts w:hint="eastAsia" w:ascii="宋体" w:hAnsi="宋体" w:cs="宋体"/>
                <w:color w:val="auto"/>
                <w:sz w:val="24"/>
                <w:szCs w:val="24"/>
                <w:highlight w:val="none"/>
                <w:lang w:val="en-US" w:eastAsia="zh-CN" w:bidi="ar-SA"/>
              </w:rPr>
              <w:t>12月31日</w:t>
            </w:r>
            <w:r>
              <w:rPr>
                <w:rFonts w:hint="eastAsia" w:ascii="宋体" w:hAnsi="宋体" w:eastAsia="宋体" w:cs="宋体"/>
                <w:color w:val="auto"/>
                <w:sz w:val="24"/>
                <w:szCs w:val="24"/>
                <w:highlight w:val="none"/>
                <w:lang w:val="en-US" w:eastAsia="zh-CN" w:bidi="ar-SA"/>
              </w:rPr>
              <w:t>以后注册成立的公司，仅需提供银行出具的资信证明即可）；</w:t>
            </w:r>
          </w:p>
          <w:p w14:paraId="576C4BE3">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3.2近半年内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2025年1月1日至2025年6月30日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bidi="ar-SA"/>
              </w:rPr>
              <w:t>任意一个月依法缴纳税收和社会保障资金的良好记录证明，依法免税的提供免税证明材料；</w:t>
            </w:r>
          </w:p>
          <w:p w14:paraId="64858B4E">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3.3拒绝列入政府取消投标资格记录期间的企业或个人投标；投标人没有被责令停业、破产或被农业农村部通报质量不合格的企业。</w:t>
            </w:r>
          </w:p>
          <w:p w14:paraId="013684C2">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3.4投标人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17EA4EED">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3.5参加政府采购活动前三年内，在经营活动中没有重大违法记录。</w:t>
            </w:r>
          </w:p>
          <w:p w14:paraId="68FAFD96">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3.6与采购人存在利害关系可能影响招标公正性的法人、其他组织或者个人，不得参加本项目投标；单位负责人为同一人或者存在直接控股、管理关系的不同供应商，不得参加同一合同项下的政府采购活动。一般须具备法人资格，分公司或者分支机构须取得总公司授权。</w:t>
            </w:r>
          </w:p>
          <w:p w14:paraId="2CC793A4">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3.7本项目不接受联合体投标。</w:t>
            </w:r>
          </w:p>
        </w:tc>
      </w:tr>
      <w:tr w14:paraId="7D4F5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 w:type="pct"/>
            <w:tcBorders>
              <w:top w:val="single" w:color="auto" w:sz="4" w:space="0"/>
              <w:left w:val="single" w:color="auto" w:sz="4" w:space="0"/>
              <w:right w:val="single" w:color="auto" w:sz="4" w:space="0"/>
            </w:tcBorders>
            <w:vAlign w:val="center"/>
          </w:tcPr>
          <w:p w14:paraId="433D5897">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130" w:type="pct"/>
            <w:tcBorders>
              <w:top w:val="single" w:color="auto" w:sz="4" w:space="0"/>
              <w:left w:val="single" w:color="auto" w:sz="4" w:space="0"/>
              <w:right w:val="single" w:color="auto" w:sz="4" w:space="0"/>
            </w:tcBorders>
            <w:shd w:val="clear" w:color="auto" w:fill="auto"/>
            <w:vAlign w:val="center"/>
          </w:tcPr>
          <w:p w14:paraId="2C767EA1">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投标有效期</w:t>
            </w:r>
          </w:p>
        </w:tc>
        <w:tc>
          <w:tcPr>
            <w:tcW w:w="3583" w:type="pct"/>
            <w:tcBorders>
              <w:top w:val="single" w:color="auto" w:sz="4" w:space="0"/>
              <w:left w:val="single" w:color="auto" w:sz="4" w:space="0"/>
              <w:right w:val="single" w:color="auto" w:sz="4" w:space="0"/>
            </w:tcBorders>
            <w:shd w:val="clear" w:color="auto" w:fill="auto"/>
            <w:vAlign w:val="center"/>
          </w:tcPr>
          <w:p w14:paraId="37E4CBA1">
            <w:pPr>
              <w:keepNext w:val="0"/>
              <w:keepLines w:val="0"/>
              <w:pageBreakBefore w:val="0"/>
              <w:kinsoku/>
              <w:overflowPunct/>
              <w:topLinePunct w:val="0"/>
              <w:bidi w:val="0"/>
              <w:spacing w:line="312" w:lineRule="auto"/>
              <w:ind w:left="-8" w:leftChars="0" w:hanging="166" w:firstLineChars="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90</w:t>
            </w:r>
            <w:r>
              <w:rPr>
                <w:rFonts w:hint="eastAsia" w:ascii="宋体" w:hAnsi="宋体" w:eastAsia="宋体" w:cs="宋体"/>
                <w:color w:val="auto"/>
                <w:sz w:val="24"/>
                <w:szCs w:val="24"/>
                <w:highlight w:val="none"/>
              </w:rPr>
              <w:t>日历天（从投标截止之日算起）</w:t>
            </w:r>
          </w:p>
        </w:tc>
      </w:tr>
      <w:tr w14:paraId="0D47B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85" w:type="pct"/>
            <w:tcBorders>
              <w:top w:val="single" w:color="auto" w:sz="4" w:space="0"/>
              <w:left w:val="single" w:color="auto" w:sz="4" w:space="0"/>
              <w:bottom w:val="single" w:color="auto" w:sz="4" w:space="0"/>
              <w:right w:val="single" w:color="auto" w:sz="4" w:space="0"/>
            </w:tcBorders>
            <w:vAlign w:val="center"/>
          </w:tcPr>
          <w:p w14:paraId="311D35A5">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1130" w:type="pct"/>
            <w:tcBorders>
              <w:top w:val="single" w:color="auto" w:sz="4" w:space="0"/>
              <w:left w:val="single" w:color="auto" w:sz="4" w:space="0"/>
              <w:bottom w:val="single" w:color="auto" w:sz="4" w:space="0"/>
              <w:right w:val="single" w:color="auto" w:sz="4" w:space="0"/>
            </w:tcBorders>
            <w:vAlign w:val="center"/>
          </w:tcPr>
          <w:p w14:paraId="5E83BCED">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3583" w:type="pct"/>
            <w:tcBorders>
              <w:top w:val="single" w:color="auto" w:sz="4" w:space="0"/>
              <w:left w:val="single" w:color="auto" w:sz="4" w:space="0"/>
              <w:bottom w:val="single" w:color="auto" w:sz="4" w:space="0"/>
              <w:right w:val="single" w:color="auto" w:sz="4" w:space="0"/>
            </w:tcBorders>
            <w:vAlign w:val="center"/>
          </w:tcPr>
          <w:p w14:paraId="089C3C6A">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投标保证金（人民币）</w:t>
            </w:r>
          </w:p>
          <w:p w14:paraId="51A88A57">
            <w:pPr>
              <w:keepNext w:val="0"/>
              <w:keepLines w:val="0"/>
              <w:pageBreakBefore w:val="0"/>
              <w:kinsoku/>
              <w:overflowPunct/>
              <w:topLinePunct w:val="0"/>
              <w:bidi w:val="0"/>
              <w:spacing w:line="312"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金额</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4000元</w:t>
            </w:r>
          </w:p>
          <w:p w14:paraId="3120D840">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可采用转账、电汇、保函等形式缴纳。</w:t>
            </w:r>
          </w:p>
          <w:p w14:paraId="58D8F08E">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收款单位账户名称：吉林省智广工程项目管理有限公司</w:t>
            </w:r>
          </w:p>
          <w:p w14:paraId="09DB2A5D">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收款单位开户银行：中国建设银行长春汇鑫支行</w:t>
            </w:r>
          </w:p>
          <w:p w14:paraId="52712857">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收款单位账户：22050100430100000583</w:t>
            </w:r>
          </w:p>
          <w:p w14:paraId="0D90861A">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收款单位开户行行号:105241000469</w:t>
            </w:r>
          </w:p>
          <w:p w14:paraId="2A736DD1">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注：投标保证金应从投标人基本账户转出，</w:t>
            </w:r>
            <w:r>
              <w:rPr>
                <w:rFonts w:hint="eastAsia" w:ascii="宋体" w:hAnsi="宋体" w:cs="宋体"/>
                <w:color w:val="auto"/>
                <w:sz w:val="24"/>
                <w:szCs w:val="24"/>
                <w:highlight w:val="none"/>
                <w:lang w:val="en-US" w:eastAsia="zh-CN"/>
              </w:rPr>
              <w:t>投标保证金递交截止时间同开标截止时间</w:t>
            </w:r>
            <w:r>
              <w:rPr>
                <w:rFonts w:hint="eastAsia" w:ascii="宋体" w:hAnsi="宋体" w:eastAsia="宋体" w:cs="宋体"/>
                <w:color w:val="auto"/>
                <w:sz w:val="24"/>
                <w:szCs w:val="24"/>
                <w:highlight w:val="none"/>
                <w:lang w:val="zh-CN" w:eastAsia="zh-CN"/>
              </w:rPr>
              <w:t>，以到</w:t>
            </w:r>
            <w:r>
              <w:rPr>
                <w:rFonts w:hint="eastAsia" w:ascii="宋体" w:hAnsi="宋体" w:eastAsia="宋体" w:cs="宋体"/>
                <w:color w:val="auto"/>
                <w:sz w:val="24"/>
                <w:szCs w:val="24"/>
                <w:highlight w:val="none"/>
                <w:lang w:val="en-US" w:eastAsia="zh-CN"/>
              </w:rPr>
              <w:t>账</w:t>
            </w:r>
            <w:r>
              <w:rPr>
                <w:rFonts w:hint="eastAsia" w:ascii="宋体" w:hAnsi="宋体" w:cs="宋体"/>
                <w:color w:val="auto"/>
                <w:sz w:val="24"/>
                <w:szCs w:val="24"/>
                <w:highlight w:val="none"/>
                <w:lang w:val="en-US" w:eastAsia="zh-CN"/>
              </w:rPr>
              <w:t>时间</w:t>
            </w:r>
            <w:r>
              <w:rPr>
                <w:rFonts w:hint="eastAsia" w:ascii="宋体" w:hAnsi="宋体" w:eastAsia="宋体" w:cs="宋体"/>
                <w:color w:val="auto"/>
                <w:sz w:val="24"/>
                <w:szCs w:val="24"/>
                <w:highlight w:val="none"/>
                <w:lang w:val="zh-CN" w:eastAsia="zh-CN"/>
              </w:rPr>
              <w:t>为准。</w:t>
            </w:r>
          </w:p>
        </w:tc>
      </w:tr>
      <w:tr w14:paraId="0974B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285" w:type="pct"/>
            <w:tcBorders>
              <w:top w:val="single" w:color="auto" w:sz="4" w:space="0"/>
              <w:left w:val="single" w:color="auto" w:sz="4" w:space="0"/>
              <w:bottom w:val="single" w:color="auto" w:sz="4" w:space="0"/>
              <w:right w:val="single" w:color="auto" w:sz="4" w:space="0"/>
            </w:tcBorders>
            <w:vAlign w:val="center"/>
          </w:tcPr>
          <w:p w14:paraId="224B31B2">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1130" w:type="pct"/>
            <w:tcBorders>
              <w:top w:val="single" w:color="auto" w:sz="4" w:space="0"/>
              <w:left w:val="single" w:color="auto" w:sz="4" w:space="0"/>
              <w:bottom w:val="single" w:color="auto" w:sz="4" w:space="0"/>
              <w:right w:val="single" w:color="auto" w:sz="4" w:space="0"/>
            </w:tcBorders>
            <w:vAlign w:val="center"/>
          </w:tcPr>
          <w:p w14:paraId="7C5A178C">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供应商的替代方案</w:t>
            </w:r>
          </w:p>
        </w:tc>
        <w:tc>
          <w:tcPr>
            <w:tcW w:w="3583" w:type="pct"/>
            <w:tcBorders>
              <w:top w:val="single" w:color="auto" w:sz="4" w:space="0"/>
              <w:left w:val="single" w:color="auto" w:sz="4" w:space="0"/>
              <w:bottom w:val="single" w:color="auto" w:sz="4" w:space="0"/>
              <w:right w:val="single" w:color="auto" w:sz="4" w:space="0"/>
            </w:tcBorders>
            <w:vAlign w:val="center"/>
          </w:tcPr>
          <w:p w14:paraId="3EA997CE">
            <w:pPr>
              <w:pStyle w:val="14"/>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66524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85" w:type="pct"/>
            <w:tcBorders>
              <w:top w:val="single" w:color="auto" w:sz="4" w:space="0"/>
              <w:left w:val="single" w:color="auto" w:sz="4" w:space="0"/>
              <w:bottom w:val="single" w:color="auto" w:sz="4" w:space="0"/>
              <w:right w:val="single" w:color="auto" w:sz="4" w:space="0"/>
            </w:tcBorders>
            <w:vAlign w:val="center"/>
          </w:tcPr>
          <w:p w14:paraId="41630919">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1130" w:type="pct"/>
            <w:tcBorders>
              <w:top w:val="single" w:color="auto" w:sz="4" w:space="0"/>
              <w:left w:val="single" w:color="auto" w:sz="4" w:space="0"/>
              <w:bottom w:val="single" w:color="auto" w:sz="4" w:space="0"/>
              <w:right w:val="single" w:color="auto" w:sz="4" w:space="0"/>
            </w:tcBorders>
            <w:vAlign w:val="center"/>
          </w:tcPr>
          <w:p w14:paraId="21F56C15">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p>
        </w:tc>
        <w:tc>
          <w:tcPr>
            <w:tcW w:w="3583" w:type="pct"/>
            <w:tcBorders>
              <w:top w:val="single" w:color="auto" w:sz="4" w:space="0"/>
              <w:left w:val="single" w:color="auto" w:sz="4" w:space="0"/>
              <w:bottom w:val="single" w:color="auto" w:sz="4" w:space="0"/>
              <w:right w:val="single" w:color="auto" w:sz="4" w:space="0"/>
            </w:tcBorders>
            <w:vAlign w:val="center"/>
          </w:tcPr>
          <w:p w14:paraId="6380F7CF">
            <w:pPr>
              <w:keepNext w:val="0"/>
              <w:keepLines w:val="0"/>
              <w:pageBreakBefore w:val="0"/>
              <w:kinsoku/>
              <w:overflowPunct/>
              <w:topLinePunct w:val="0"/>
              <w:bidi w:val="0"/>
              <w:spacing w:line="312"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实行政采云电子投标</w:t>
            </w:r>
            <w:r>
              <w:rPr>
                <w:rFonts w:hint="eastAsia" w:ascii="宋体" w:hAnsi="宋体" w:cs="宋体"/>
                <w:color w:val="auto"/>
                <w:sz w:val="24"/>
                <w:szCs w:val="24"/>
                <w:highlight w:val="none"/>
                <w:lang w:val="en-US" w:eastAsia="zh-CN"/>
              </w:rPr>
              <w:t>，无需提供纸质版。</w:t>
            </w:r>
          </w:p>
        </w:tc>
      </w:tr>
      <w:tr w14:paraId="30DD2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85" w:type="pct"/>
            <w:tcBorders>
              <w:top w:val="single" w:color="auto" w:sz="4" w:space="0"/>
              <w:left w:val="single" w:color="auto" w:sz="4" w:space="0"/>
              <w:bottom w:val="single" w:color="auto" w:sz="4" w:space="0"/>
              <w:right w:val="single" w:color="auto" w:sz="4" w:space="0"/>
            </w:tcBorders>
            <w:vAlign w:val="center"/>
          </w:tcPr>
          <w:p w14:paraId="098C6492">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p>
        </w:tc>
        <w:tc>
          <w:tcPr>
            <w:tcW w:w="1130" w:type="pct"/>
            <w:tcBorders>
              <w:top w:val="single" w:color="auto" w:sz="4" w:space="0"/>
              <w:left w:val="single" w:color="auto" w:sz="4" w:space="0"/>
              <w:bottom w:val="single" w:color="auto" w:sz="4" w:space="0"/>
              <w:right w:val="single" w:color="auto" w:sz="4" w:space="0"/>
            </w:tcBorders>
            <w:vAlign w:val="center"/>
          </w:tcPr>
          <w:p w14:paraId="58BE5DAE">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投标文件提交地点及截止时间</w:t>
            </w:r>
          </w:p>
        </w:tc>
        <w:tc>
          <w:tcPr>
            <w:tcW w:w="3583" w:type="pct"/>
            <w:tcBorders>
              <w:top w:val="single" w:color="auto" w:sz="4" w:space="0"/>
              <w:left w:val="single" w:color="auto" w:sz="4" w:space="0"/>
              <w:bottom w:val="single" w:color="auto" w:sz="4" w:space="0"/>
              <w:right w:val="single" w:color="auto" w:sz="4" w:space="0"/>
            </w:tcBorders>
            <w:vAlign w:val="center"/>
          </w:tcPr>
          <w:p w14:paraId="186796BD">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lang w:eastAsia="zh-CN"/>
              </w:rPr>
              <w:t>分</w:t>
            </w:r>
            <w:r>
              <w:rPr>
                <w:rFonts w:hint="eastAsia" w:ascii="宋体" w:hAnsi="宋体" w:eastAsia="宋体" w:cs="宋体"/>
                <w:color w:val="auto"/>
                <w:sz w:val="24"/>
                <w:szCs w:val="24"/>
                <w:highlight w:val="none"/>
              </w:rPr>
              <w:t>（北京时间）</w:t>
            </w:r>
          </w:p>
          <w:p w14:paraId="513C6392">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zh-CN"/>
              </w:rPr>
              <w:t>“政采云”平台</w:t>
            </w:r>
          </w:p>
        </w:tc>
      </w:tr>
      <w:tr w14:paraId="48A69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85" w:type="pct"/>
            <w:tcBorders>
              <w:top w:val="single" w:color="auto" w:sz="4" w:space="0"/>
              <w:left w:val="single" w:color="auto" w:sz="4" w:space="0"/>
              <w:bottom w:val="single" w:color="auto" w:sz="4" w:space="0"/>
              <w:right w:val="single" w:color="auto" w:sz="4" w:space="0"/>
            </w:tcBorders>
            <w:vAlign w:val="center"/>
          </w:tcPr>
          <w:p w14:paraId="26955870">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p>
        </w:tc>
        <w:tc>
          <w:tcPr>
            <w:tcW w:w="1130" w:type="pct"/>
            <w:tcBorders>
              <w:top w:val="single" w:color="auto" w:sz="4" w:space="0"/>
              <w:left w:val="single" w:color="auto" w:sz="4" w:space="0"/>
              <w:bottom w:val="single" w:color="auto" w:sz="4" w:space="0"/>
              <w:right w:val="single" w:color="auto" w:sz="4" w:space="0"/>
            </w:tcBorders>
            <w:vAlign w:val="center"/>
          </w:tcPr>
          <w:p w14:paraId="51C0F388">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w:t>
            </w:r>
          </w:p>
        </w:tc>
        <w:tc>
          <w:tcPr>
            <w:tcW w:w="3583" w:type="pct"/>
            <w:tcBorders>
              <w:top w:val="single" w:color="auto" w:sz="4" w:space="0"/>
              <w:left w:val="single" w:color="auto" w:sz="4" w:space="0"/>
              <w:bottom w:val="single" w:color="auto" w:sz="4" w:space="0"/>
              <w:right w:val="single" w:color="auto" w:sz="4" w:space="0"/>
            </w:tcBorders>
            <w:vAlign w:val="center"/>
          </w:tcPr>
          <w:p w14:paraId="3310F512">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lang w:eastAsia="zh-CN"/>
              </w:rPr>
              <w:t>分</w:t>
            </w:r>
            <w:r>
              <w:rPr>
                <w:rFonts w:hint="eastAsia" w:ascii="宋体" w:hAnsi="宋体" w:eastAsia="宋体" w:cs="宋体"/>
                <w:color w:val="auto"/>
                <w:sz w:val="24"/>
                <w:szCs w:val="24"/>
                <w:highlight w:val="none"/>
              </w:rPr>
              <w:t>（北京时间）</w:t>
            </w:r>
          </w:p>
          <w:p w14:paraId="4D1BF2BF">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长春市二道区洋浦大街凯利中心AB栋101室，</w:t>
            </w:r>
            <w:r>
              <w:rPr>
                <w:rFonts w:hint="eastAsia" w:ascii="宋体" w:hAnsi="宋体" w:cs="宋体"/>
                <w:color w:val="auto"/>
                <w:sz w:val="24"/>
                <w:szCs w:val="24"/>
                <w:highlight w:val="none"/>
                <w:lang w:val="en-US" w:eastAsia="zh-CN"/>
              </w:rPr>
              <w:t>第2</w:t>
            </w:r>
            <w:r>
              <w:rPr>
                <w:rFonts w:hint="eastAsia" w:ascii="宋体" w:hAnsi="宋体" w:eastAsia="宋体" w:cs="宋体"/>
                <w:color w:val="auto"/>
                <w:sz w:val="24"/>
                <w:szCs w:val="24"/>
                <w:highlight w:val="none"/>
                <w:lang w:eastAsia="zh-CN"/>
              </w:rPr>
              <w:t>开标室</w:t>
            </w:r>
          </w:p>
        </w:tc>
      </w:tr>
      <w:tr w14:paraId="605EF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285" w:type="pct"/>
            <w:tcBorders>
              <w:top w:val="single" w:color="auto" w:sz="4" w:space="0"/>
              <w:left w:val="single" w:color="auto" w:sz="4" w:space="0"/>
              <w:bottom w:val="single" w:color="auto" w:sz="4" w:space="0"/>
              <w:right w:val="single" w:color="auto" w:sz="4" w:space="0"/>
            </w:tcBorders>
            <w:vAlign w:val="center"/>
          </w:tcPr>
          <w:p w14:paraId="551DF6F9">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7</w:t>
            </w:r>
          </w:p>
        </w:tc>
        <w:tc>
          <w:tcPr>
            <w:tcW w:w="1130" w:type="pct"/>
            <w:tcBorders>
              <w:top w:val="single" w:color="auto" w:sz="4" w:space="0"/>
              <w:left w:val="single" w:color="auto" w:sz="4" w:space="0"/>
              <w:bottom w:val="single" w:color="auto" w:sz="4" w:space="0"/>
              <w:right w:val="single" w:color="auto" w:sz="4" w:space="0"/>
            </w:tcBorders>
            <w:vAlign w:val="center"/>
          </w:tcPr>
          <w:p w14:paraId="7D1330B3">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评标方法及标准</w:t>
            </w:r>
          </w:p>
        </w:tc>
        <w:tc>
          <w:tcPr>
            <w:tcW w:w="3583" w:type="pct"/>
            <w:tcBorders>
              <w:top w:val="single" w:color="auto" w:sz="4" w:space="0"/>
              <w:left w:val="single" w:color="auto" w:sz="4" w:space="0"/>
              <w:bottom w:val="single" w:color="auto" w:sz="4" w:space="0"/>
              <w:right w:val="single" w:color="auto" w:sz="4" w:space="0"/>
            </w:tcBorders>
            <w:vAlign w:val="center"/>
          </w:tcPr>
          <w:p w14:paraId="67FDD1B6">
            <w:pPr>
              <w:keepNext w:val="0"/>
              <w:keepLines w:val="0"/>
              <w:pageBreakBefore w:val="0"/>
              <w:kinsoku/>
              <w:overflowPunct/>
              <w:topLinePunct w:val="0"/>
              <w:bidi w:val="0"/>
              <w:adjustRightInd w:val="0"/>
              <w:snapToGrid w:val="0"/>
              <w:spacing w:line="312"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综合评分法</w:t>
            </w:r>
          </w:p>
        </w:tc>
      </w:tr>
      <w:tr w14:paraId="4053C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 w:type="pct"/>
            <w:tcBorders>
              <w:top w:val="single" w:color="auto" w:sz="4" w:space="0"/>
              <w:left w:val="single" w:color="auto" w:sz="4" w:space="0"/>
              <w:bottom w:val="single" w:color="auto" w:sz="4" w:space="0"/>
              <w:right w:val="single" w:color="auto" w:sz="4" w:space="0"/>
            </w:tcBorders>
            <w:vAlign w:val="center"/>
          </w:tcPr>
          <w:p w14:paraId="2D4D23ED">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8</w:t>
            </w:r>
          </w:p>
        </w:tc>
        <w:tc>
          <w:tcPr>
            <w:tcW w:w="1130" w:type="pct"/>
            <w:tcBorders>
              <w:top w:val="single" w:color="auto" w:sz="4" w:space="0"/>
              <w:left w:val="single" w:color="auto" w:sz="4" w:space="0"/>
              <w:bottom w:val="single" w:color="auto" w:sz="4" w:space="0"/>
              <w:right w:val="single" w:color="auto" w:sz="4" w:space="0"/>
            </w:tcBorders>
            <w:vAlign w:val="center"/>
          </w:tcPr>
          <w:p w14:paraId="4E46EEC1">
            <w:pPr>
              <w:keepNext w:val="0"/>
              <w:keepLines w:val="0"/>
              <w:pageBreakBefore w:val="0"/>
              <w:kinsoku/>
              <w:wordWrap w:val="0"/>
              <w:overflowPunct/>
              <w:topLinePunct w:val="0"/>
              <w:autoSpaceDE w:val="0"/>
              <w:autoSpaceDN w:val="0"/>
              <w:bidi w:val="0"/>
              <w:adjustRightInd w:val="0"/>
              <w:spacing w:line="312"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评标委员会的组建</w:t>
            </w:r>
          </w:p>
        </w:tc>
        <w:tc>
          <w:tcPr>
            <w:tcW w:w="3583" w:type="pct"/>
            <w:tcBorders>
              <w:top w:val="single" w:color="auto" w:sz="4" w:space="0"/>
              <w:left w:val="single" w:color="auto" w:sz="4" w:space="0"/>
              <w:bottom w:val="single" w:color="auto" w:sz="4" w:space="0"/>
              <w:right w:val="single" w:color="auto" w:sz="4" w:space="0"/>
            </w:tcBorders>
            <w:vAlign w:val="center"/>
          </w:tcPr>
          <w:p w14:paraId="67A6B1E8">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评标委员会构成：采购人代表1人，技术、经济相关专业专家4人；</w:t>
            </w:r>
          </w:p>
          <w:p w14:paraId="1749AEC3">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评标专家确定方式：从依法成立的评标专家库中随机抽取。</w:t>
            </w:r>
          </w:p>
        </w:tc>
      </w:tr>
      <w:tr w14:paraId="5FBBF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285" w:type="pct"/>
            <w:tcBorders>
              <w:top w:val="single" w:color="auto" w:sz="4" w:space="0"/>
              <w:left w:val="single" w:color="auto" w:sz="4" w:space="0"/>
              <w:bottom w:val="single" w:color="auto" w:sz="4" w:space="0"/>
              <w:right w:val="single" w:color="auto" w:sz="4" w:space="0"/>
            </w:tcBorders>
            <w:vAlign w:val="center"/>
          </w:tcPr>
          <w:p w14:paraId="05CB51CB">
            <w:pPr>
              <w:keepNext w:val="0"/>
              <w:keepLines w:val="0"/>
              <w:pageBreakBefore w:val="0"/>
              <w:widowControl w:val="0"/>
              <w:tabs>
                <w:tab w:val="left" w:pos="420"/>
              </w:tabs>
              <w:kinsoku/>
              <w:overflowPunct/>
              <w:topLinePunct w:val="0"/>
              <w:bidi w:val="0"/>
              <w:spacing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1130" w:type="pct"/>
            <w:tcBorders>
              <w:top w:val="single" w:color="auto" w:sz="4" w:space="0"/>
              <w:left w:val="single" w:color="auto" w:sz="4" w:space="0"/>
              <w:bottom w:val="single" w:color="auto" w:sz="4" w:space="0"/>
              <w:right w:val="single" w:color="auto" w:sz="4" w:space="0"/>
            </w:tcBorders>
            <w:vAlign w:val="center"/>
          </w:tcPr>
          <w:p w14:paraId="26237F89">
            <w:pPr>
              <w:keepNext w:val="0"/>
              <w:keepLines w:val="0"/>
              <w:pageBreakBefore w:val="0"/>
              <w:kinsoku/>
              <w:wordWrap w:val="0"/>
              <w:overflowPunct/>
              <w:topLinePunct w:val="0"/>
              <w:autoSpaceDE w:val="0"/>
              <w:autoSpaceDN w:val="0"/>
              <w:bidi w:val="0"/>
              <w:adjustRightInd w:val="0"/>
              <w:spacing w:line="312"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是否授权评标委员会确定中标人</w:t>
            </w:r>
          </w:p>
        </w:tc>
        <w:tc>
          <w:tcPr>
            <w:tcW w:w="3583" w:type="pct"/>
            <w:tcBorders>
              <w:top w:val="single" w:color="auto" w:sz="4" w:space="0"/>
              <w:left w:val="single" w:color="auto" w:sz="4" w:space="0"/>
              <w:bottom w:val="single" w:color="auto" w:sz="4" w:space="0"/>
              <w:right w:val="single" w:color="auto" w:sz="4" w:space="0"/>
            </w:tcBorders>
            <w:vAlign w:val="center"/>
          </w:tcPr>
          <w:p w14:paraId="1E7B2FA0">
            <w:pPr>
              <w:keepNext w:val="0"/>
              <w:keepLines w:val="0"/>
              <w:pageBreakBefore w:val="0"/>
              <w:kinsoku/>
              <w:wordWrap w:val="0"/>
              <w:overflowPunct/>
              <w:topLinePunct w:val="0"/>
              <w:bidi w:val="0"/>
              <w:spacing w:line="312" w:lineRule="auto"/>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sz w:val="24"/>
                <w:szCs w:val="24"/>
                <w:highlight w:val="none"/>
                <w:lang w:val="zh-CN"/>
              </w:rPr>
              <w:t>否，推荐3名中标候选人</w:t>
            </w:r>
          </w:p>
        </w:tc>
      </w:tr>
      <w:tr w14:paraId="0C25A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285" w:type="pct"/>
            <w:tcBorders>
              <w:top w:val="single" w:color="auto" w:sz="4" w:space="0"/>
              <w:left w:val="single" w:color="auto" w:sz="4" w:space="0"/>
              <w:bottom w:val="single" w:color="auto" w:sz="4" w:space="0"/>
              <w:right w:val="single" w:color="auto" w:sz="4" w:space="0"/>
            </w:tcBorders>
            <w:vAlign w:val="center"/>
          </w:tcPr>
          <w:p w14:paraId="647C5A0D">
            <w:pPr>
              <w:keepNext w:val="0"/>
              <w:keepLines w:val="0"/>
              <w:pageBreakBefore w:val="0"/>
              <w:widowControl w:val="0"/>
              <w:tabs>
                <w:tab w:val="left" w:pos="420"/>
              </w:tabs>
              <w:kinsoku/>
              <w:overflowPunct/>
              <w:topLinePunct w:val="0"/>
              <w:bidi w:val="0"/>
              <w:spacing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1130" w:type="pct"/>
            <w:tcBorders>
              <w:top w:val="single" w:color="auto" w:sz="4" w:space="0"/>
              <w:left w:val="single" w:color="auto" w:sz="4" w:space="0"/>
              <w:bottom w:val="single" w:color="auto" w:sz="4" w:space="0"/>
              <w:right w:val="single" w:color="auto" w:sz="4" w:space="0"/>
            </w:tcBorders>
            <w:vAlign w:val="center"/>
          </w:tcPr>
          <w:p w14:paraId="626A0857">
            <w:pPr>
              <w:keepNext w:val="0"/>
              <w:keepLines w:val="0"/>
              <w:pageBreakBefore w:val="0"/>
              <w:kinsoku/>
              <w:overflowPunct/>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w:t>
            </w:r>
          </w:p>
        </w:tc>
        <w:tc>
          <w:tcPr>
            <w:tcW w:w="3583" w:type="pct"/>
            <w:tcBorders>
              <w:top w:val="single" w:color="auto" w:sz="4" w:space="0"/>
              <w:left w:val="single" w:color="auto" w:sz="4" w:space="0"/>
              <w:bottom w:val="single" w:color="auto" w:sz="4" w:space="0"/>
              <w:right w:val="single" w:color="auto" w:sz="4" w:space="0"/>
            </w:tcBorders>
            <w:vAlign w:val="center"/>
          </w:tcPr>
          <w:p w14:paraId="4B292610">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中标人应在中标结果确定后</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天内签订采购合同</w:t>
            </w:r>
          </w:p>
        </w:tc>
      </w:tr>
      <w:tr w14:paraId="288D2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22CD9033">
            <w:pPr>
              <w:keepNext w:val="0"/>
              <w:keepLines w:val="0"/>
              <w:pageBreakBefore w:val="0"/>
              <w:widowControl w:val="0"/>
              <w:tabs>
                <w:tab w:val="left" w:pos="420"/>
              </w:tabs>
              <w:kinsoku/>
              <w:overflowPunct/>
              <w:topLinePunct w:val="0"/>
              <w:bidi w:val="0"/>
              <w:spacing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1130" w:type="pct"/>
            <w:tcBorders>
              <w:top w:val="single" w:color="auto" w:sz="4" w:space="0"/>
              <w:left w:val="single" w:color="auto" w:sz="4" w:space="0"/>
              <w:bottom w:val="single" w:color="auto" w:sz="4" w:space="0"/>
              <w:right w:val="single" w:color="auto" w:sz="4" w:space="0"/>
            </w:tcBorders>
            <w:shd w:val="clear" w:color="auto" w:fill="auto"/>
            <w:vAlign w:val="center"/>
          </w:tcPr>
          <w:p w14:paraId="14840672">
            <w:pPr>
              <w:keepNext w:val="0"/>
              <w:keepLines w:val="0"/>
              <w:pageBreakBefore w:val="0"/>
              <w:kinsoku/>
              <w:overflowPunct/>
              <w:topLinePunct w:val="0"/>
              <w:bidi w:val="0"/>
              <w:spacing w:line="312" w:lineRule="auto"/>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付款方式</w:t>
            </w:r>
          </w:p>
        </w:tc>
        <w:tc>
          <w:tcPr>
            <w:tcW w:w="3583" w:type="pct"/>
            <w:tcBorders>
              <w:top w:val="single" w:color="auto" w:sz="4" w:space="0"/>
              <w:left w:val="single" w:color="auto" w:sz="4" w:space="0"/>
              <w:bottom w:val="single" w:color="auto" w:sz="4" w:space="0"/>
              <w:right w:val="single" w:color="auto" w:sz="4" w:space="0"/>
            </w:tcBorders>
            <w:shd w:val="clear" w:color="auto" w:fill="auto"/>
            <w:vAlign w:val="center"/>
          </w:tcPr>
          <w:p w14:paraId="570730B6">
            <w:pPr>
              <w:keepNext w:val="0"/>
              <w:keepLines w:val="0"/>
              <w:pageBreakBefore w:val="0"/>
              <w:kinsoku/>
              <w:overflowPunct/>
              <w:topLinePunct w:val="0"/>
              <w:bidi w:val="0"/>
              <w:adjustRightInd w:val="0"/>
              <w:snapToGrid w:val="0"/>
              <w:spacing w:line="312" w:lineRule="auto"/>
              <w:textAlignment w:val="auto"/>
              <w:rPr>
                <w:rFonts w:hint="default" w:ascii="宋体" w:hAnsi="宋体" w:eastAsia="宋体" w:cs="宋体"/>
                <w:bCs/>
                <w:color w:val="auto"/>
                <w:kern w:val="15"/>
                <w:sz w:val="24"/>
                <w:szCs w:val="24"/>
                <w:highlight w:val="none"/>
                <w:lang w:val="en-US"/>
              </w:rPr>
            </w:pPr>
            <w:r>
              <w:rPr>
                <w:rFonts w:hint="eastAsia" w:ascii="宋体" w:hAnsi="宋体" w:cs="宋体"/>
                <w:bCs/>
                <w:color w:val="auto"/>
                <w:sz w:val="24"/>
                <w:szCs w:val="24"/>
                <w:highlight w:val="none"/>
                <w:lang w:val="en-US" w:eastAsia="zh-CN"/>
              </w:rPr>
              <w:t>以双方实际签订合同为准。</w:t>
            </w:r>
          </w:p>
        </w:tc>
      </w:tr>
      <w:tr w14:paraId="3F210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57964D94">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2</w:t>
            </w:r>
          </w:p>
        </w:tc>
        <w:tc>
          <w:tcPr>
            <w:tcW w:w="1130" w:type="pct"/>
            <w:tcBorders>
              <w:top w:val="single" w:color="auto" w:sz="4" w:space="0"/>
              <w:left w:val="single" w:color="auto" w:sz="4" w:space="0"/>
              <w:bottom w:val="single" w:color="auto" w:sz="4" w:space="0"/>
              <w:right w:val="single" w:color="auto" w:sz="4" w:space="0"/>
            </w:tcBorders>
            <w:shd w:val="clear" w:color="auto" w:fill="auto"/>
            <w:vAlign w:val="center"/>
          </w:tcPr>
          <w:p w14:paraId="43C0898A">
            <w:pPr>
              <w:keepNext w:val="0"/>
              <w:keepLines w:val="0"/>
              <w:pageBreakBefore w:val="0"/>
              <w:kinsoku/>
              <w:overflowPunct/>
              <w:topLinePunct w:val="0"/>
              <w:bidi w:val="0"/>
              <w:adjustRightInd w:val="0"/>
              <w:snapToGrid w:val="0"/>
              <w:spacing w:line="312" w:lineRule="auto"/>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履约担保</w:t>
            </w:r>
          </w:p>
        </w:tc>
        <w:tc>
          <w:tcPr>
            <w:tcW w:w="3583" w:type="pct"/>
            <w:tcBorders>
              <w:top w:val="single" w:color="auto" w:sz="4" w:space="0"/>
              <w:left w:val="single" w:color="auto" w:sz="4" w:space="0"/>
              <w:bottom w:val="single" w:color="auto" w:sz="4" w:space="0"/>
              <w:right w:val="single" w:color="auto" w:sz="4" w:space="0"/>
            </w:tcBorders>
            <w:shd w:val="clear" w:color="auto" w:fill="auto"/>
            <w:vAlign w:val="center"/>
          </w:tcPr>
          <w:p w14:paraId="524B5564">
            <w:pPr>
              <w:keepNext w:val="0"/>
              <w:keepLines w:val="0"/>
              <w:pageBreakBefore w:val="0"/>
              <w:numPr>
                <w:ilvl w:val="0"/>
                <w:numId w:val="1"/>
              </w:numPr>
              <w:kinsoku/>
              <w:overflowPunct/>
              <w:topLinePunct w:val="0"/>
              <w:bidi w:val="0"/>
              <w:adjustRightInd w:val="0"/>
              <w:snapToGrid w:val="0"/>
              <w:spacing w:line="312" w:lineRule="auto"/>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履约担保的金额：中标价款的</w:t>
            </w:r>
            <w:r>
              <w:rPr>
                <w:rFonts w:hint="eastAsia" w:ascii="宋体" w:hAnsi="宋体" w:cs="宋体"/>
                <w:bCs/>
                <w:color w:val="auto"/>
                <w:kern w:val="15"/>
                <w:sz w:val="24"/>
                <w:szCs w:val="24"/>
                <w:highlight w:val="none"/>
                <w:lang w:val="en-US" w:eastAsia="zh-CN"/>
              </w:rPr>
              <w:t>3</w:t>
            </w:r>
            <w:r>
              <w:rPr>
                <w:rFonts w:hint="eastAsia" w:ascii="宋体" w:hAnsi="宋体" w:eastAsia="宋体" w:cs="宋体"/>
                <w:bCs/>
                <w:color w:val="auto"/>
                <w:kern w:val="15"/>
                <w:sz w:val="24"/>
                <w:szCs w:val="24"/>
                <w:highlight w:val="none"/>
              </w:rPr>
              <w:t>%；</w:t>
            </w:r>
          </w:p>
          <w:p w14:paraId="417A42A5">
            <w:pPr>
              <w:keepNext w:val="0"/>
              <w:keepLines w:val="0"/>
              <w:pageBreakBefore w:val="0"/>
              <w:numPr>
                <w:ilvl w:val="0"/>
                <w:numId w:val="1"/>
              </w:numPr>
              <w:kinsoku/>
              <w:overflowPunct/>
              <w:topLinePunct w:val="0"/>
              <w:bidi w:val="0"/>
              <w:adjustRightInd w:val="0"/>
              <w:snapToGrid w:val="0"/>
              <w:spacing w:line="312" w:lineRule="auto"/>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支付方式：</w:t>
            </w:r>
            <w:r>
              <w:rPr>
                <w:rFonts w:hint="eastAsia" w:ascii="宋体" w:hAnsi="宋体" w:eastAsia="宋体" w:cs="宋体"/>
                <w:bCs/>
                <w:color w:val="auto"/>
                <w:kern w:val="15"/>
                <w:sz w:val="24"/>
                <w:szCs w:val="24"/>
                <w:highlight w:val="none"/>
                <w:lang w:val="en-US"/>
              </w:rPr>
              <w:t>履约保证金应当以支票、汇票、本票或者保函等非现金形式提交。履约保证金的有效期到供应商提供</w:t>
            </w:r>
            <w:r>
              <w:rPr>
                <w:rFonts w:hint="eastAsia" w:ascii="宋体" w:hAnsi="宋体" w:cs="宋体"/>
                <w:bCs/>
                <w:color w:val="auto"/>
                <w:kern w:val="15"/>
                <w:sz w:val="24"/>
                <w:szCs w:val="24"/>
                <w:highlight w:val="none"/>
                <w:lang w:val="en-US" w:eastAsia="zh-CN"/>
              </w:rPr>
              <w:t>完</w:t>
            </w:r>
            <w:r>
              <w:rPr>
                <w:rFonts w:hint="eastAsia" w:ascii="宋体" w:hAnsi="宋体" w:eastAsia="宋体" w:cs="宋体"/>
                <w:bCs/>
                <w:color w:val="auto"/>
                <w:kern w:val="15"/>
                <w:sz w:val="24"/>
                <w:szCs w:val="24"/>
                <w:highlight w:val="none"/>
                <w:lang w:val="en-US"/>
              </w:rPr>
              <w:t>服务之日止，不计利息。</w:t>
            </w:r>
          </w:p>
          <w:p w14:paraId="08F1DFE9">
            <w:pPr>
              <w:keepNext w:val="0"/>
              <w:keepLines w:val="0"/>
              <w:pageBreakBefore w:val="0"/>
              <w:numPr>
                <w:ilvl w:val="0"/>
                <w:numId w:val="1"/>
              </w:numPr>
              <w:kinsoku/>
              <w:overflowPunct/>
              <w:topLinePunct w:val="0"/>
              <w:bidi w:val="0"/>
              <w:adjustRightInd w:val="0"/>
              <w:snapToGrid w:val="0"/>
              <w:spacing w:line="312" w:lineRule="auto"/>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履约担保缴纳（提交）时间：下发中标通知书之日起7日内提交。</w:t>
            </w:r>
          </w:p>
          <w:p w14:paraId="27E1A34E">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bCs/>
                <w:color w:val="auto"/>
                <w:kern w:val="15"/>
                <w:sz w:val="24"/>
                <w:szCs w:val="24"/>
                <w:highlight w:val="none"/>
              </w:rPr>
            </w:pPr>
            <w:r>
              <w:rPr>
                <w:rFonts w:hint="eastAsia" w:ascii="宋体" w:hAnsi="宋体" w:cs="宋体"/>
                <w:bCs/>
                <w:color w:val="auto"/>
                <w:kern w:val="15"/>
                <w:sz w:val="24"/>
                <w:szCs w:val="24"/>
                <w:highlight w:val="none"/>
                <w:lang w:val="en-US" w:eastAsia="zh-CN"/>
              </w:rPr>
              <w:t>4</w:t>
            </w:r>
            <w:r>
              <w:rPr>
                <w:rFonts w:hint="eastAsia" w:ascii="宋体" w:hAnsi="宋体" w:eastAsia="宋体" w:cs="宋体"/>
                <w:bCs/>
                <w:color w:val="auto"/>
                <w:kern w:val="15"/>
                <w:sz w:val="24"/>
                <w:szCs w:val="24"/>
                <w:highlight w:val="none"/>
              </w:rPr>
              <w:t>.履约保证金交纳后持中标通知书与采购人签订供</w:t>
            </w:r>
            <w:r>
              <w:rPr>
                <w:rFonts w:hint="eastAsia" w:ascii="宋体" w:hAnsi="宋体" w:cs="宋体"/>
                <w:bCs/>
                <w:color w:val="auto"/>
                <w:kern w:val="15"/>
                <w:sz w:val="24"/>
                <w:szCs w:val="24"/>
                <w:highlight w:val="none"/>
                <w:lang w:val="en-US" w:eastAsia="zh-CN"/>
              </w:rPr>
              <w:t>应</w:t>
            </w:r>
            <w:r>
              <w:rPr>
                <w:rFonts w:hint="eastAsia" w:ascii="宋体" w:hAnsi="宋体" w:eastAsia="宋体" w:cs="宋体"/>
                <w:bCs/>
                <w:color w:val="auto"/>
                <w:kern w:val="15"/>
                <w:sz w:val="24"/>
                <w:szCs w:val="24"/>
                <w:highlight w:val="none"/>
              </w:rPr>
              <w:t>合同。</w:t>
            </w:r>
          </w:p>
          <w:p w14:paraId="76E10F27">
            <w:pPr>
              <w:keepNext w:val="0"/>
              <w:keepLines w:val="0"/>
              <w:pageBreakBefore w:val="0"/>
              <w:numPr>
                <w:ilvl w:val="0"/>
                <w:numId w:val="0"/>
              </w:numPr>
              <w:kinsoku/>
              <w:overflowPunct/>
              <w:topLinePunct w:val="0"/>
              <w:bidi w:val="0"/>
              <w:adjustRightInd w:val="0"/>
              <w:snapToGrid w:val="0"/>
              <w:spacing w:line="312" w:lineRule="auto"/>
              <w:textAlignment w:val="auto"/>
              <w:rPr>
                <w:rFonts w:hint="eastAsia" w:ascii="宋体" w:hAnsi="宋体" w:eastAsia="宋体" w:cs="宋体"/>
                <w:bCs/>
                <w:color w:val="auto"/>
                <w:kern w:val="15"/>
                <w:sz w:val="24"/>
                <w:szCs w:val="24"/>
                <w:highlight w:val="none"/>
              </w:rPr>
            </w:pPr>
            <w:r>
              <w:rPr>
                <w:rFonts w:hint="eastAsia" w:ascii="宋体" w:hAnsi="宋体" w:cs="宋体"/>
                <w:bCs/>
                <w:color w:val="auto"/>
                <w:kern w:val="15"/>
                <w:sz w:val="24"/>
                <w:szCs w:val="24"/>
                <w:highlight w:val="none"/>
                <w:lang w:val="en-US" w:eastAsia="zh-CN"/>
              </w:rPr>
              <w:t>5</w:t>
            </w:r>
            <w:r>
              <w:rPr>
                <w:rFonts w:hint="eastAsia" w:ascii="宋体" w:hAnsi="宋体" w:eastAsia="宋体" w:cs="宋体"/>
                <w:bCs/>
                <w:color w:val="auto"/>
                <w:kern w:val="15"/>
                <w:sz w:val="24"/>
                <w:szCs w:val="24"/>
                <w:highlight w:val="none"/>
              </w:rPr>
              <w:t>.履约保证金退还：</w:t>
            </w:r>
            <w:r>
              <w:rPr>
                <w:rFonts w:hint="eastAsia" w:ascii="宋体" w:hAnsi="宋体" w:eastAsia="宋体" w:cs="宋体"/>
                <w:bCs/>
                <w:color w:val="auto"/>
                <w:kern w:val="15"/>
                <w:sz w:val="24"/>
                <w:szCs w:val="24"/>
                <w:highlight w:val="none"/>
                <w:lang w:val="en-US"/>
              </w:rPr>
              <w:t>履约保证金的有效期到供应商提供</w:t>
            </w:r>
            <w:r>
              <w:rPr>
                <w:rFonts w:hint="eastAsia" w:ascii="宋体" w:hAnsi="宋体" w:cs="宋体"/>
                <w:bCs/>
                <w:color w:val="auto"/>
                <w:kern w:val="15"/>
                <w:sz w:val="24"/>
                <w:szCs w:val="24"/>
                <w:highlight w:val="none"/>
                <w:lang w:val="en-US" w:eastAsia="zh-CN"/>
              </w:rPr>
              <w:t>完</w:t>
            </w:r>
            <w:r>
              <w:rPr>
                <w:rFonts w:hint="eastAsia" w:ascii="宋体" w:hAnsi="宋体" w:eastAsia="宋体" w:cs="宋体"/>
                <w:bCs/>
                <w:color w:val="auto"/>
                <w:kern w:val="15"/>
                <w:sz w:val="24"/>
                <w:szCs w:val="24"/>
                <w:highlight w:val="none"/>
                <w:lang w:val="en-US"/>
              </w:rPr>
              <w:t>服务之日止，不计利息。</w:t>
            </w:r>
            <w:r>
              <w:rPr>
                <w:rFonts w:hint="eastAsia" w:ascii="宋体" w:hAnsi="宋体" w:eastAsia="宋体" w:cs="宋体"/>
                <w:bCs/>
                <w:color w:val="auto"/>
                <w:kern w:val="15"/>
                <w:sz w:val="24"/>
                <w:szCs w:val="24"/>
                <w:highlight w:val="none"/>
              </w:rPr>
              <w:t>待供应商履行完合同约定权利义务事项后退还。</w:t>
            </w:r>
          </w:p>
        </w:tc>
      </w:tr>
      <w:tr w14:paraId="0F17A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85" w:type="pct"/>
            <w:tcBorders>
              <w:top w:val="single" w:color="auto" w:sz="4" w:space="0"/>
              <w:left w:val="single" w:color="auto" w:sz="4" w:space="0"/>
              <w:bottom w:val="single" w:color="auto" w:sz="4" w:space="0"/>
              <w:right w:val="single" w:color="auto" w:sz="4" w:space="0"/>
            </w:tcBorders>
            <w:vAlign w:val="center"/>
          </w:tcPr>
          <w:p w14:paraId="44466697">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3</w:t>
            </w:r>
          </w:p>
        </w:tc>
        <w:tc>
          <w:tcPr>
            <w:tcW w:w="1130" w:type="pct"/>
            <w:tcBorders>
              <w:top w:val="single" w:color="auto" w:sz="4" w:space="0"/>
              <w:left w:val="single" w:color="auto" w:sz="4" w:space="0"/>
              <w:bottom w:val="single" w:color="auto" w:sz="4" w:space="0"/>
              <w:right w:val="single" w:color="auto" w:sz="4" w:space="0"/>
            </w:tcBorders>
            <w:vAlign w:val="center"/>
          </w:tcPr>
          <w:p w14:paraId="53F9380F">
            <w:pPr>
              <w:keepNext w:val="0"/>
              <w:keepLines w:val="0"/>
              <w:pageBreakBefore w:val="0"/>
              <w:kinsoku/>
              <w:overflowPunct/>
              <w:topLinePunct w:val="0"/>
              <w:bidi w:val="0"/>
              <w:spacing w:line="312" w:lineRule="auto"/>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合同存档</w:t>
            </w:r>
          </w:p>
        </w:tc>
        <w:tc>
          <w:tcPr>
            <w:tcW w:w="3583" w:type="pct"/>
            <w:tcBorders>
              <w:top w:val="single" w:color="auto" w:sz="4" w:space="0"/>
              <w:left w:val="single" w:color="auto" w:sz="4" w:space="0"/>
              <w:bottom w:val="single" w:color="auto" w:sz="4" w:space="0"/>
              <w:right w:val="single" w:color="auto" w:sz="4" w:space="0"/>
            </w:tcBorders>
            <w:vAlign w:val="center"/>
          </w:tcPr>
          <w:p w14:paraId="5F52B780">
            <w:pPr>
              <w:keepNext w:val="0"/>
              <w:keepLines w:val="0"/>
              <w:pageBreakBefore w:val="0"/>
              <w:kinsoku/>
              <w:overflowPunct/>
              <w:topLinePunct w:val="0"/>
              <w:bidi w:val="0"/>
              <w:spacing w:line="312" w:lineRule="auto"/>
              <w:jc w:val="both"/>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中标人与采购人签订合同后</w:t>
            </w:r>
            <w:r>
              <w:rPr>
                <w:rFonts w:hint="eastAsia" w:ascii="宋体" w:hAnsi="宋体" w:eastAsia="宋体" w:cs="宋体"/>
                <w:bCs/>
                <w:color w:val="auto"/>
                <w:kern w:val="15"/>
                <w:sz w:val="24"/>
                <w:szCs w:val="24"/>
                <w:highlight w:val="none"/>
                <w:u w:val="single"/>
              </w:rPr>
              <w:t xml:space="preserve"> 2 </w:t>
            </w:r>
            <w:r>
              <w:rPr>
                <w:rFonts w:hint="eastAsia" w:ascii="宋体" w:hAnsi="宋体" w:eastAsia="宋体" w:cs="宋体"/>
                <w:bCs/>
                <w:color w:val="auto"/>
                <w:kern w:val="15"/>
                <w:sz w:val="24"/>
                <w:szCs w:val="24"/>
                <w:highlight w:val="none"/>
              </w:rPr>
              <w:t>个工作日内将采购合同复印件送至采购代理机构存档并进行合同公示。</w:t>
            </w:r>
          </w:p>
        </w:tc>
      </w:tr>
      <w:tr w14:paraId="2C6D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 w:type="pct"/>
            <w:tcBorders>
              <w:top w:val="single" w:color="auto" w:sz="4" w:space="0"/>
              <w:left w:val="single" w:color="auto" w:sz="4" w:space="0"/>
              <w:bottom w:val="single" w:color="auto" w:sz="4" w:space="0"/>
              <w:right w:val="single" w:color="auto" w:sz="4" w:space="0"/>
            </w:tcBorders>
            <w:vAlign w:val="center"/>
          </w:tcPr>
          <w:p w14:paraId="7104610B">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4</w:t>
            </w:r>
          </w:p>
        </w:tc>
        <w:tc>
          <w:tcPr>
            <w:tcW w:w="1130" w:type="pct"/>
            <w:tcBorders>
              <w:top w:val="single" w:color="auto" w:sz="4" w:space="0"/>
              <w:left w:val="single" w:color="auto" w:sz="4" w:space="0"/>
              <w:bottom w:val="single" w:color="auto" w:sz="4" w:space="0"/>
              <w:right w:val="single" w:color="auto" w:sz="4" w:space="0"/>
            </w:tcBorders>
            <w:vAlign w:val="center"/>
          </w:tcPr>
          <w:p w14:paraId="6A6B49C6">
            <w:pPr>
              <w:keepNext w:val="0"/>
              <w:keepLines w:val="0"/>
              <w:pageBreakBefore w:val="0"/>
              <w:kinsoku/>
              <w:overflowPunct/>
              <w:topLinePunct w:val="0"/>
              <w:bidi w:val="0"/>
              <w:adjustRightInd w:val="0"/>
              <w:snapToGrid w:val="0"/>
              <w:spacing w:before="60" w:beforeLines="25" w:after="60" w:afterLines="25" w:line="312" w:lineRule="auto"/>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招标代理服务费</w:t>
            </w:r>
          </w:p>
        </w:tc>
        <w:tc>
          <w:tcPr>
            <w:tcW w:w="3583" w:type="pct"/>
            <w:tcBorders>
              <w:top w:val="single" w:color="auto" w:sz="4" w:space="0"/>
              <w:left w:val="single" w:color="auto" w:sz="4" w:space="0"/>
              <w:bottom w:val="single" w:color="auto" w:sz="4" w:space="0"/>
              <w:right w:val="single" w:color="auto" w:sz="4" w:space="0"/>
            </w:tcBorders>
            <w:vAlign w:val="center"/>
          </w:tcPr>
          <w:p w14:paraId="3EC9C009">
            <w:pPr>
              <w:spacing w:line="240" w:lineRule="auto"/>
              <w:jc w:val="both"/>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zh-CN" w:eastAsia="zh-CN"/>
              </w:rPr>
              <w:t>采购代理机构</w:t>
            </w:r>
            <w:r>
              <w:rPr>
                <w:rFonts w:hint="eastAsia" w:ascii="宋体" w:hAnsi="宋体" w:eastAsia="宋体" w:cs="宋体"/>
                <w:color w:val="auto"/>
                <w:sz w:val="24"/>
                <w:szCs w:val="24"/>
                <w:highlight w:val="none"/>
              </w:rPr>
              <w:t>参照《国家发展改革委关于进一步放开建设项目专业服务价格的通知》（发改价格〔2015〕299号）的取费标准向中标人收取招标代理服务费。</w:t>
            </w:r>
            <w:r>
              <w:rPr>
                <w:rFonts w:hint="eastAsia" w:ascii="宋体" w:hAnsi="宋体" w:eastAsia="宋体" w:cs="宋体"/>
                <w:bCs/>
                <w:color w:val="auto"/>
                <w:sz w:val="24"/>
                <w:szCs w:val="24"/>
                <w:highlight w:val="none"/>
                <w:lang w:val="zh-CN" w:eastAsia="zh-CN"/>
              </w:rPr>
              <w:t>本项目</w:t>
            </w:r>
            <w:r>
              <w:rPr>
                <w:rFonts w:hint="eastAsia" w:ascii="宋体" w:hAnsi="宋体"/>
                <w:color w:val="auto"/>
                <w:kern w:val="2"/>
                <w:sz w:val="24"/>
                <w:szCs w:val="24"/>
                <w:highlight w:val="none"/>
                <w:shd w:val="clear" w:color="auto" w:fill="FFFFFF"/>
                <w:lang w:bidi="ar"/>
              </w:rPr>
              <w:t>采购代理机构</w:t>
            </w:r>
            <w:r>
              <w:rPr>
                <w:rFonts w:hint="eastAsia" w:ascii="宋体" w:hAnsi="宋体" w:eastAsia="宋体" w:cs="宋体"/>
                <w:bCs/>
                <w:color w:val="auto"/>
                <w:sz w:val="24"/>
                <w:szCs w:val="24"/>
                <w:highlight w:val="none"/>
                <w:lang w:val="zh-CN" w:eastAsia="zh-CN"/>
              </w:rPr>
              <w:t>按中标价</w:t>
            </w:r>
            <w:r>
              <w:rPr>
                <w:rFonts w:hint="eastAsia" w:ascii="宋体" w:hAnsi="宋体"/>
                <w:color w:val="auto"/>
                <w:kern w:val="2"/>
                <w:sz w:val="24"/>
                <w:szCs w:val="24"/>
                <w:highlight w:val="none"/>
                <w:shd w:val="clear" w:color="auto" w:fill="FFFFFF"/>
                <w:lang w:bidi="ar"/>
              </w:rPr>
              <w:t>的1.5%计算后再乘以0.89收取代理服务费</w:t>
            </w:r>
            <w:r>
              <w:rPr>
                <w:rFonts w:hint="eastAsia" w:ascii="宋体" w:hAnsi="宋体" w:eastAsia="宋体" w:cs="宋体"/>
                <w:bCs/>
                <w:color w:val="auto"/>
                <w:sz w:val="24"/>
                <w:szCs w:val="24"/>
                <w:highlight w:val="none"/>
                <w:lang w:val="zh-CN" w:eastAsia="zh-CN"/>
              </w:rPr>
              <w:t>。</w:t>
            </w:r>
          </w:p>
        </w:tc>
      </w:tr>
      <w:tr w14:paraId="39CDD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 w:type="pct"/>
            <w:tcBorders>
              <w:top w:val="single" w:color="auto" w:sz="4" w:space="0"/>
              <w:left w:val="single" w:color="auto" w:sz="4" w:space="0"/>
              <w:bottom w:val="single" w:color="auto" w:sz="4" w:space="0"/>
              <w:right w:val="single" w:color="auto" w:sz="4" w:space="0"/>
            </w:tcBorders>
            <w:vAlign w:val="center"/>
          </w:tcPr>
          <w:p w14:paraId="5C68703D">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5</w:t>
            </w:r>
          </w:p>
        </w:tc>
        <w:tc>
          <w:tcPr>
            <w:tcW w:w="1130" w:type="pct"/>
            <w:tcBorders>
              <w:top w:val="single" w:color="auto" w:sz="4" w:space="0"/>
              <w:left w:val="single" w:color="auto" w:sz="4" w:space="0"/>
              <w:bottom w:val="single" w:color="auto" w:sz="4" w:space="0"/>
              <w:right w:val="single" w:color="auto" w:sz="4" w:space="0"/>
            </w:tcBorders>
            <w:vAlign w:val="center"/>
          </w:tcPr>
          <w:p w14:paraId="497BABC9">
            <w:pPr>
              <w:keepNext w:val="0"/>
              <w:keepLines w:val="0"/>
              <w:pageBreakBefore w:val="0"/>
              <w:kinsoku/>
              <w:overflowPunct/>
              <w:topLinePunct w:val="0"/>
              <w:bidi w:val="0"/>
              <w:adjustRightInd w:val="0"/>
              <w:snapToGrid w:val="0"/>
              <w:spacing w:before="60" w:beforeLines="25" w:after="60" w:afterLines="25" w:line="312" w:lineRule="auto"/>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Times New Roman"/>
                <w:color w:val="auto"/>
                <w:kern w:val="0"/>
                <w:sz w:val="24"/>
                <w:szCs w:val="24"/>
                <w:highlight w:val="none"/>
                <w:lang w:val="zh-CN" w:eastAsia="zh-CN" w:bidi="ar-SA"/>
              </w:rPr>
              <w:t>服务方式</w:t>
            </w:r>
          </w:p>
        </w:tc>
        <w:tc>
          <w:tcPr>
            <w:tcW w:w="3583" w:type="pct"/>
            <w:tcBorders>
              <w:top w:val="single" w:color="auto" w:sz="4" w:space="0"/>
              <w:left w:val="single" w:color="auto" w:sz="4" w:space="0"/>
              <w:bottom w:val="single" w:color="auto" w:sz="4" w:space="0"/>
              <w:right w:val="single" w:color="auto" w:sz="4" w:space="0"/>
            </w:tcBorders>
            <w:vAlign w:val="center"/>
          </w:tcPr>
          <w:p w14:paraId="1B2EE631">
            <w:pPr>
              <w:pStyle w:val="133"/>
              <w:rPr>
                <w:rFonts w:hint="eastAsia" w:ascii="宋体" w:hAnsi="宋体" w:eastAsia="宋体" w:cs="宋体"/>
                <w:color w:val="auto"/>
                <w:sz w:val="24"/>
                <w:szCs w:val="24"/>
                <w:highlight w:val="none"/>
              </w:rPr>
            </w:pPr>
            <w:r>
              <w:rPr>
                <w:rFonts w:hint="eastAsia" w:ascii="宋体" w:hAnsi="宋体" w:eastAsia="宋体" w:cs="Times New Roman"/>
                <w:color w:val="auto"/>
                <w:kern w:val="0"/>
                <w:sz w:val="24"/>
                <w:szCs w:val="24"/>
                <w:highlight w:val="none"/>
                <w:lang w:val="zh-CN" w:eastAsia="zh-CN" w:bidi="ar-SA"/>
              </w:rPr>
              <w:t>供方负责按需方要求提供全部服务并保证验收合格；</w:t>
            </w:r>
          </w:p>
        </w:tc>
      </w:tr>
      <w:tr w14:paraId="51EFE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 w:type="pct"/>
            <w:tcBorders>
              <w:top w:val="single" w:color="auto" w:sz="4" w:space="0"/>
              <w:left w:val="single" w:color="auto" w:sz="4" w:space="0"/>
              <w:bottom w:val="single" w:color="auto" w:sz="4" w:space="0"/>
              <w:right w:val="single" w:color="auto" w:sz="4" w:space="0"/>
            </w:tcBorders>
            <w:vAlign w:val="center"/>
          </w:tcPr>
          <w:p w14:paraId="543E8BCC">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6</w:t>
            </w:r>
          </w:p>
        </w:tc>
        <w:tc>
          <w:tcPr>
            <w:tcW w:w="1130" w:type="pct"/>
            <w:tcBorders>
              <w:top w:val="single" w:color="auto" w:sz="4" w:space="0"/>
              <w:left w:val="single" w:color="auto" w:sz="4" w:space="0"/>
              <w:bottom w:val="single" w:color="auto" w:sz="4" w:space="0"/>
              <w:right w:val="single" w:color="auto" w:sz="4" w:space="0"/>
            </w:tcBorders>
            <w:vAlign w:val="center"/>
          </w:tcPr>
          <w:p w14:paraId="448A6D59">
            <w:pPr>
              <w:keepNext w:val="0"/>
              <w:keepLines w:val="0"/>
              <w:pageBreakBefore w:val="0"/>
              <w:kinsoku/>
              <w:overflowPunct/>
              <w:topLinePunct w:val="0"/>
              <w:bidi w:val="0"/>
              <w:adjustRightInd w:val="0"/>
              <w:snapToGrid w:val="0"/>
              <w:spacing w:before="60" w:beforeLines="25" w:after="60" w:afterLines="25" w:line="312" w:lineRule="auto"/>
              <w:jc w:val="center"/>
              <w:textAlignment w:val="auto"/>
              <w:rPr>
                <w:rFonts w:hint="eastAsia" w:ascii="宋体" w:hAnsi="宋体" w:eastAsia="宋体" w:cs="宋体"/>
                <w:bCs/>
                <w:color w:val="auto"/>
                <w:kern w:val="15"/>
                <w:sz w:val="24"/>
                <w:szCs w:val="24"/>
                <w:highlight w:val="none"/>
                <w:lang w:val="zh-CN"/>
              </w:rPr>
            </w:pPr>
            <w:r>
              <w:rPr>
                <w:rFonts w:hint="eastAsia" w:ascii="宋体" w:hAnsi="宋体" w:eastAsia="宋体" w:cs="宋体"/>
                <w:color w:val="auto"/>
                <w:sz w:val="24"/>
                <w:szCs w:val="24"/>
                <w:highlight w:val="none"/>
              </w:rPr>
              <w:t>解密方式</w:t>
            </w:r>
          </w:p>
        </w:tc>
        <w:tc>
          <w:tcPr>
            <w:tcW w:w="3583" w:type="pct"/>
            <w:tcBorders>
              <w:top w:val="single" w:color="auto" w:sz="4" w:space="0"/>
              <w:left w:val="single" w:color="auto" w:sz="4" w:space="0"/>
              <w:bottom w:val="single" w:color="auto" w:sz="4" w:space="0"/>
              <w:right w:val="single" w:color="auto" w:sz="4" w:space="0"/>
            </w:tcBorders>
            <w:vAlign w:val="center"/>
          </w:tcPr>
          <w:p w14:paraId="7BC1FF31">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（1）本项目采用全流程电子化招投标，开标方式为远程开标，并按照现场工作人员通知使用CA锁进行投标文件远程解密。</w:t>
            </w:r>
          </w:p>
          <w:p w14:paraId="4C996330">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提交方式：本项目为全流程电子化项目，通过“政采云”平台（http：//www.zcygov.cn）实行在线电子投标，投标人应先安装“政采云投标客户端”（请自行前往“政采云”平台进行下载），并按照本项目招标文件和“政采云”平台的要求编制、加密后在提交投标文件截止时间前通过网络将电子投标文件上传至“政采云”平台（http：//www.zcygov.cn），投标人在“政采云”平台（http：//www.zcygov.cn）提交电子投标文件时，请填写参加采购活动经办人联系方式。</w:t>
            </w:r>
          </w:p>
          <w:p w14:paraId="1F2A06F8">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解密期限及方式：开标时间后30分钟内，由投标人持制作该电子投标文件的同一数字证书（CA锁）及电脑进行远程解密（各投标人开标前及网上开评标系统公布投标人名单前，不要提前进行远程解密；当采购代理机构开启解密程序后，各投标人再进行解密）。</w:t>
            </w:r>
          </w:p>
          <w:p w14:paraId="028D18C9">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投标文件解密截止时间后，“政采云”平台（http：//www.zcygov.cn）公布投标报价信息，投标人持企业数字证书登录“政采云”平台在线查询投标报价信息。因投标人自身原因未能按时完成解密的，视为逾期未提交投标文件，其投标无效。</w:t>
            </w:r>
          </w:p>
        </w:tc>
      </w:tr>
      <w:tr w14:paraId="24573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 w:type="pct"/>
            <w:tcBorders>
              <w:top w:val="single" w:color="auto" w:sz="4" w:space="0"/>
              <w:left w:val="single" w:color="auto" w:sz="4" w:space="0"/>
              <w:bottom w:val="single" w:color="auto" w:sz="4" w:space="0"/>
              <w:right w:val="single" w:color="auto" w:sz="4" w:space="0"/>
            </w:tcBorders>
            <w:vAlign w:val="center"/>
          </w:tcPr>
          <w:p w14:paraId="7D7C4FBF">
            <w:pPr>
              <w:keepNext w:val="0"/>
              <w:keepLines w:val="0"/>
              <w:pageBreakBefore w:val="0"/>
              <w:widowControl w:val="0"/>
              <w:tabs>
                <w:tab w:val="left" w:pos="420"/>
              </w:tabs>
              <w:kinsoku/>
              <w:overflowPunct/>
              <w:topLinePunct w:val="0"/>
              <w:bidi w:val="0"/>
              <w:spacing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1130" w:type="pct"/>
            <w:tcBorders>
              <w:top w:val="single" w:color="auto" w:sz="4" w:space="0"/>
              <w:left w:val="single" w:color="auto" w:sz="4" w:space="0"/>
              <w:bottom w:val="single" w:color="auto" w:sz="4" w:space="0"/>
              <w:right w:val="single" w:color="auto" w:sz="4" w:space="0"/>
            </w:tcBorders>
            <w:vAlign w:val="center"/>
          </w:tcPr>
          <w:p w14:paraId="57A09C83">
            <w:pPr>
              <w:keepNext w:val="0"/>
              <w:keepLines w:val="0"/>
              <w:pageBreakBefore w:val="0"/>
              <w:kinsoku/>
              <w:overflowPunct/>
              <w:topLinePunct w:val="0"/>
              <w:bidi w:val="0"/>
              <w:adjustRightInd w:val="0"/>
              <w:snapToGrid w:val="0"/>
              <w:spacing w:before="60" w:beforeLines="25" w:after="60" w:afterLines="25"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需要补充的其他内容</w:t>
            </w:r>
          </w:p>
        </w:tc>
        <w:tc>
          <w:tcPr>
            <w:tcW w:w="3583" w:type="pct"/>
            <w:tcBorders>
              <w:top w:val="single" w:color="auto" w:sz="4" w:space="0"/>
              <w:left w:val="single" w:color="auto" w:sz="4" w:space="0"/>
              <w:bottom w:val="single" w:color="auto" w:sz="4" w:space="0"/>
              <w:right w:val="single" w:color="auto" w:sz="4" w:space="0"/>
            </w:tcBorders>
            <w:vAlign w:val="center"/>
          </w:tcPr>
          <w:p w14:paraId="750DA33A">
            <w:pPr>
              <w:keepNext w:val="0"/>
              <w:keepLines w:val="0"/>
              <w:pageBreakBefore w:val="0"/>
              <w:kinsoku/>
              <w:overflowPunct/>
              <w:topLinePunct w:val="0"/>
              <w:bidi w:val="0"/>
              <w:spacing w:line="312"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本项目采购内容</w:t>
            </w:r>
            <w:r>
              <w:rPr>
                <w:rFonts w:hint="eastAsia" w:ascii="宋体" w:hAnsi="宋体" w:eastAsia="宋体" w:cs="宋体"/>
                <w:color w:val="auto"/>
                <w:sz w:val="24"/>
                <w:szCs w:val="24"/>
                <w:highlight w:val="none"/>
                <w:lang w:val="zh-CN"/>
              </w:rPr>
              <w:t>所属行业</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工业</w:t>
            </w:r>
          </w:p>
        </w:tc>
      </w:tr>
      <w:tr w14:paraId="7A11B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FF4C54B">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15"/>
                <w:sz w:val="24"/>
                <w:szCs w:val="24"/>
                <w:highlight w:val="none"/>
              </w:rPr>
              <w:t>本项目招标公告与招标文件中内容有不符之处，以本招标文件中内容为准。</w:t>
            </w:r>
          </w:p>
        </w:tc>
      </w:tr>
      <w:bookmarkEnd w:id="0"/>
    </w:tbl>
    <w:p w14:paraId="52B4C06E">
      <w:pPr>
        <w:spacing w:before="0" w:after="0" w:line="288" w:lineRule="auto"/>
        <w:outlineLvl w:val="9"/>
        <w:rPr>
          <w:rFonts w:hint="eastAsia" w:ascii="宋体" w:hAnsi="宋体" w:cs="宋体"/>
          <w:color w:val="auto"/>
          <w:sz w:val="24"/>
          <w:szCs w:val="24"/>
          <w:highlight w:val="none"/>
        </w:rPr>
      </w:pPr>
      <w:bookmarkStart w:id="38" w:name="_Toc98580392"/>
    </w:p>
    <w:p w14:paraId="47D1351F">
      <w:pPr>
        <w:spacing w:before="0" w:after="0" w:line="288" w:lineRule="auto"/>
        <w:outlineLvl w:val="9"/>
        <w:rPr>
          <w:rFonts w:hint="eastAsia" w:ascii="宋体" w:hAnsi="宋体" w:cs="宋体"/>
          <w:color w:val="auto"/>
          <w:sz w:val="24"/>
          <w:szCs w:val="24"/>
          <w:highlight w:val="none"/>
        </w:rPr>
      </w:pPr>
    </w:p>
    <w:p w14:paraId="50E44162">
      <w:pPr>
        <w:spacing w:before="0" w:after="0" w:line="288" w:lineRule="auto"/>
        <w:outlineLvl w:val="9"/>
        <w:rPr>
          <w:rFonts w:hint="eastAsia" w:ascii="宋体" w:hAnsi="宋体" w:cs="宋体"/>
          <w:color w:val="auto"/>
          <w:sz w:val="24"/>
          <w:szCs w:val="24"/>
          <w:highlight w:val="none"/>
        </w:rPr>
      </w:pPr>
    </w:p>
    <w:p w14:paraId="49ADBA3D">
      <w:pPr>
        <w:spacing w:before="0" w:after="0" w:line="240" w:lineRule="auto"/>
        <w:outlineLvl w:val="9"/>
        <w:rPr>
          <w:rFonts w:hint="eastAsia" w:ascii="宋体" w:hAnsi="宋体" w:cs="宋体"/>
          <w:color w:val="auto"/>
          <w:sz w:val="24"/>
          <w:szCs w:val="24"/>
          <w:highlight w:val="none"/>
        </w:rPr>
      </w:pPr>
    </w:p>
    <w:p w14:paraId="76254D16">
      <w:pPr>
        <w:spacing w:before="0" w:after="0" w:line="240" w:lineRule="auto"/>
        <w:outlineLvl w:val="9"/>
        <w:rPr>
          <w:rFonts w:hint="eastAsia" w:ascii="宋体" w:hAnsi="宋体" w:cs="宋体"/>
          <w:color w:val="auto"/>
          <w:sz w:val="24"/>
          <w:szCs w:val="24"/>
          <w:highlight w:val="none"/>
        </w:rPr>
      </w:pPr>
    </w:p>
    <w:p w14:paraId="6885264D">
      <w:pPr>
        <w:spacing w:before="0" w:after="0" w:line="240" w:lineRule="auto"/>
        <w:outlineLvl w:val="9"/>
        <w:rPr>
          <w:rFonts w:hint="eastAsia" w:ascii="宋体" w:hAnsi="宋体" w:cs="宋体"/>
          <w:color w:val="auto"/>
          <w:sz w:val="24"/>
          <w:szCs w:val="24"/>
          <w:highlight w:val="none"/>
        </w:rPr>
      </w:pPr>
    </w:p>
    <w:p w14:paraId="0B8D6651">
      <w:pPr>
        <w:spacing w:before="0" w:after="0" w:line="240" w:lineRule="auto"/>
        <w:outlineLvl w:val="9"/>
        <w:rPr>
          <w:rFonts w:hint="eastAsia" w:ascii="宋体" w:hAnsi="宋体" w:cs="宋体"/>
          <w:color w:val="auto"/>
          <w:sz w:val="24"/>
          <w:szCs w:val="24"/>
          <w:highlight w:val="none"/>
        </w:rPr>
      </w:pPr>
    </w:p>
    <w:p w14:paraId="583AE7EA">
      <w:pPr>
        <w:spacing w:before="0" w:after="0" w:line="240" w:lineRule="auto"/>
        <w:outlineLvl w:val="9"/>
        <w:rPr>
          <w:rFonts w:hint="eastAsia" w:ascii="宋体" w:hAnsi="宋体" w:cs="宋体"/>
          <w:color w:val="auto"/>
          <w:sz w:val="24"/>
          <w:szCs w:val="24"/>
          <w:highlight w:val="none"/>
        </w:rPr>
      </w:pPr>
    </w:p>
    <w:p w14:paraId="36D4CF59">
      <w:pPr>
        <w:spacing w:before="0" w:after="0" w:line="240" w:lineRule="auto"/>
        <w:outlineLvl w:val="9"/>
        <w:rPr>
          <w:rFonts w:hint="eastAsia" w:ascii="宋体" w:hAnsi="宋体" w:cs="宋体"/>
          <w:color w:val="auto"/>
          <w:sz w:val="24"/>
          <w:szCs w:val="24"/>
          <w:highlight w:val="none"/>
        </w:rPr>
      </w:pPr>
    </w:p>
    <w:p w14:paraId="3492E350">
      <w:pPr>
        <w:spacing w:before="0" w:after="0" w:line="240" w:lineRule="auto"/>
        <w:outlineLvl w:val="9"/>
        <w:rPr>
          <w:rFonts w:hint="eastAsia" w:ascii="宋体" w:hAnsi="宋体" w:cs="宋体"/>
          <w:color w:val="auto"/>
          <w:sz w:val="24"/>
          <w:szCs w:val="24"/>
          <w:highlight w:val="none"/>
        </w:rPr>
      </w:pPr>
    </w:p>
    <w:p w14:paraId="1B22F5F3">
      <w:pPr>
        <w:spacing w:before="0" w:after="0" w:line="240" w:lineRule="auto"/>
        <w:outlineLvl w:val="9"/>
        <w:rPr>
          <w:rFonts w:hint="eastAsia" w:ascii="宋体" w:hAnsi="宋体" w:cs="宋体"/>
          <w:color w:val="auto"/>
          <w:sz w:val="24"/>
          <w:szCs w:val="24"/>
          <w:highlight w:val="none"/>
        </w:rPr>
      </w:pPr>
    </w:p>
    <w:p w14:paraId="4E930D6F">
      <w:pPr>
        <w:spacing w:before="0" w:after="0" w:line="240" w:lineRule="auto"/>
        <w:outlineLvl w:val="9"/>
        <w:rPr>
          <w:rFonts w:hint="eastAsia" w:ascii="宋体" w:hAnsi="宋体" w:cs="宋体"/>
          <w:color w:val="auto"/>
          <w:sz w:val="24"/>
          <w:szCs w:val="24"/>
          <w:highlight w:val="none"/>
        </w:rPr>
      </w:pPr>
    </w:p>
    <w:p w14:paraId="1F353A3B">
      <w:pPr>
        <w:pStyle w:val="6"/>
        <w:tabs>
          <w:tab w:val="left" w:pos="360"/>
        </w:tabs>
        <w:spacing w:before="0" w:after="0" w:line="240" w:lineRule="auto"/>
        <w:outlineLvl w:val="1"/>
        <w:rPr>
          <w:rFonts w:hint="eastAsia" w:ascii="宋体" w:hAnsi="宋体" w:eastAsia="宋体" w:cs="宋体"/>
          <w:color w:val="auto"/>
          <w:szCs w:val="24"/>
          <w:highlight w:val="none"/>
        </w:rPr>
      </w:pPr>
      <w:bookmarkStart w:id="39" w:name="_Toc98580391"/>
    </w:p>
    <w:p w14:paraId="039B387B">
      <w:pPr>
        <w:rPr>
          <w:rFonts w:hint="eastAsia"/>
          <w:color w:val="auto"/>
          <w:highlight w:val="none"/>
        </w:rPr>
      </w:pPr>
    </w:p>
    <w:p w14:paraId="2F4E9036">
      <w:pPr>
        <w:pStyle w:val="3"/>
        <w:tabs>
          <w:tab w:val="left" w:pos="360"/>
        </w:tabs>
        <w:spacing w:before="0" w:after="0" w:line="240" w:lineRule="auto"/>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二、供应商须知</w:t>
      </w:r>
    </w:p>
    <w:p w14:paraId="71EB6A90">
      <w:pPr>
        <w:pStyle w:val="4"/>
        <w:spacing w:before="0" w:after="0" w:line="288" w:lineRule="auto"/>
        <w:jc w:val="center"/>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 说明</w:t>
      </w:r>
      <w:bookmarkEnd w:id="39"/>
    </w:p>
    <w:p w14:paraId="15171F91">
      <w:pPr>
        <w:spacing w:before="0" w:after="0" w:line="288" w:lineRule="auto"/>
        <w:outlineLvl w:val="9"/>
        <w:rPr>
          <w:rFonts w:ascii="宋体" w:hAnsi="宋体" w:cs="宋体"/>
          <w:b w:val="0"/>
          <w:color w:val="auto"/>
          <w:spacing w:val="6"/>
          <w:sz w:val="24"/>
          <w:szCs w:val="24"/>
          <w:highlight w:val="none"/>
        </w:rPr>
      </w:pPr>
      <w:r>
        <w:rPr>
          <w:rFonts w:hint="eastAsia" w:ascii="宋体" w:hAnsi="宋体" w:cs="宋体"/>
          <w:color w:val="auto"/>
          <w:sz w:val="24"/>
          <w:szCs w:val="24"/>
          <w:highlight w:val="none"/>
        </w:rPr>
        <w:t>1.适用范围</w:t>
      </w:r>
      <w:bookmarkEnd w:id="38"/>
    </w:p>
    <w:p w14:paraId="2E2CCA64">
      <w:pPr>
        <w:spacing w:line="288" w:lineRule="auto"/>
        <w:ind w:firstLine="567"/>
        <w:jc w:val="both"/>
        <w:rPr>
          <w:rFonts w:ascii="宋体" w:hAnsi="宋体" w:cs="宋体"/>
          <w:color w:val="auto"/>
          <w:sz w:val="24"/>
          <w:szCs w:val="24"/>
          <w:highlight w:val="none"/>
        </w:rPr>
      </w:pPr>
      <w:r>
        <w:rPr>
          <w:rFonts w:hint="eastAsia" w:ascii="宋体" w:hAnsi="宋体" w:cs="宋体"/>
          <w:color w:val="auto"/>
          <w:sz w:val="24"/>
          <w:szCs w:val="24"/>
          <w:highlight w:val="none"/>
        </w:rPr>
        <w:t>本文件是受</w:t>
      </w:r>
      <w:r>
        <w:rPr>
          <w:rFonts w:hint="eastAsia" w:ascii="宋体" w:hAnsi="宋体" w:cs="宋体"/>
          <w:color w:val="auto"/>
          <w:spacing w:val="6"/>
          <w:sz w:val="24"/>
          <w:szCs w:val="24"/>
          <w:highlight w:val="none"/>
        </w:rPr>
        <w:t>采购人</w:t>
      </w:r>
      <w:r>
        <w:rPr>
          <w:rFonts w:hint="eastAsia" w:ascii="宋体" w:hAnsi="宋体" w:cs="宋体"/>
          <w:color w:val="auto"/>
          <w:sz w:val="24"/>
          <w:szCs w:val="24"/>
          <w:highlight w:val="none"/>
        </w:rPr>
        <w:t>委托</w:t>
      </w:r>
      <w:r>
        <w:rPr>
          <w:rFonts w:hint="eastAsia" w:ascii="宋体" w:hAnsi="宋体" w:cs="宋体"/>
          <w:color w:val="auto"/>
          <w:spacing w:val="6"/>
          <w:sz w:val="24"/>
          <w:szCs w:val="24"/>
          <w:highlight w:val="none"/>
        </w:rPr>
        <w:t>，对采购人</w:t>
      </w:r>
      <w:r>
        <w:rPr>
          <w:rFonts w:hint="eastAsia" w:ascii="宋体" w:hAnsi="宋体" w:cs="宋体"/>
          <w:color w:val="auto"/>
          <w:sz w:val="24"/>
          <w:szCs w:val="24"/>
          <w:highlight w:val="none"/>
        </w:rPr>
        <w:t>委托</w:t>
      </w:r>
      <w:r>
        <w:rPr>
          <w:rFonts w:hint="eastAsia" w:ascii="宋体" w:hAnsi="宋体" w:cs="宋体"/>
          <w:bCs/>
          <w:color w:val="auto"/>
          <w:sz w:val="24"/>
          <w:szCs w:val="24"/>
          <w:highlight w:val="none"/>
          <w:lang w:val="zh-CN"/>
        </w:rPr>
        <w:t>采购项目</w:t>
      </w:r>
      <w:r>
        <w:rPr>
          <w:rFonts w:hint="eastAsia" w:ascii="宋体" w:hAnsi="宋体" w:cs="宋体"/>
          <w:color w:val="auto"/>
          <w:spacing w:val="6"/>
          <w:sz w:val="24"/>
          <w:szCs w:val="24"/>
          <w:highlight w:val="none"/>
        </w:rPr>
        <w:t>的规范性招标</w:t>
      </w:r>
      <w:r>
        <w:rPr>
          <w:rFonts w:hint="eastAsia" w:ascii="宋体" w:hAnsi="宋体" w:cs="宋体"/>
          <w:color w:val="auto"/>
          <w:sz w:val="24"/>
          <w:szCs w:val="24"/>
          <w:highlight w:val="none"/>
        </w:rPr>
        <w:t>文件，适用于本项目招标公告所述的标的采购及服务，是供应商编制投标文件的依据。</w:t>
      </w:r>
    </w:p>
    <w:p w14:paraId="359403AD">
      <w:pPr>
        <w:spacing w:before="0" w:after="0" w:line="288" w:lineRule="auto"/>
        <w:outlineLvl w:val="9"/>
        <w:rPr>
          <w:rFonts w:ascii="宋体" w:hAnsi="宋体" w:cs="宋体"/>
          <w:color w:val="auto"/>
          <w:sz w:val="24"/>
          <w:szCs w:val="24"/>
          <w:highlight w:val="none"/>
        </w:rPr>
      </w:pPr>
      <w:bookmarkStart w:id="40" w:name="_Toc98580393"/>
      <w:r>
        <w:rPr>
          <w:rFonts w:hint="eastAsia" w:ascii="宋体" w:hAnsi="宋体" w:cs="宋体"/>
          <w:color w:val="auto"/>
          <w:sz w:val="24"/>
          <w:szCs w:val="24"/>
          <w:highlight w:val="none"/>
        </w:rPr>
        <w:t>2.法律适用</w:t>
      </w:r>
      <w:bookmarkEnd w:id="40"/>
    </w:p>
    <w:p w14:paraId="2DD4E2DD">
      <w:pPr>
        <w:spacing w:line="288" w:lineRule="auto"/>
        <w:ind w:firstLine="567"/>
        <w:jc w:val="both"/>
        <w:rPr>
          <w:rFonts w:ascii="宋体" w:hAnsi="宋体" w:cs="宋体"/>
          <w:color w:val="auto"/>
          <w:sz w:val="24"/>
          <w:szCs w:val="24"/>
          <w:highlight w:val="none"/>
        </w:rPr>
      </w:pPr>
      <w:r>
        <w:rPr>
          <w:rFonts w:hint="eastAsia" w:ascii="宋体" w:hAnsi="宋体" w:cs="宋体"/>
          <w:color w:val="auto"/>
          <w:sz w:val="24"/>
          <w:szCs w:val="24"/>
          <w:highlight w:val="none"/>
        </w:rPr>
        <w:t>本招标文件及由本次招标产生的合同适用</w:t>
      </w:r>
      <w:r>
        <w:rPr>
          <w:rFonts w:hint="eastAsia" w:ascii="宋体" w:hAnsi="宋体" w:cs="宋体"/>
          <w:color w:val="auto"/>
          <w:sz w:val="24"/>
          <w:szCs w:val="24"/>
          <w:highlight w:val="none"/>
          <w:lang w:val="zh-CN"/>
        </w:rPr>
        <w:t>《中华人民共和国政府采购法》《中华人民共和国政府采购法实施条例》《政府采购货物和服务招标投标管理办法》及政府采购其它相关法规</w:t>
      </w:r>
      <w:r>
        <w:rPr>
          <w:rFonts w:hint="eastAsia" w:ascii="宋体" w:hAnsi="宋体" w:cs="宋体"/>
          <w:color w:val="auto"/>
          <w:sz w:val="24"/>
          <w:szCs w:val="24"/>
          <w:highlight w:val="none"/>
        </w:rPr>
        <w:t>。</w:t>
      </w:r>
    </w:p>
    <w:p w14:paraId="5F0AE7FD">
      <w:pPr>
        <w:spacing w:before="0" w:after="0" w:line="288" w:lineRule="auto"/>
        <w:outlineLvl w:val="9"/>
        <w:rPr>
          <w:rFonts w:ascii="宋体" w:hAnsi="宋体" w:cs="宋体"/>
          <w:color w:val="auto"/>
          <w:sz w:val="24"/>
          <w:szCs w:val="24"/>
          <w:highlight w:val="none"/>
        </w:rPr>
      </w:pPr>
      <w:bookmarkStart w:id="41" w:name="_Toc98580394"/>
      <w:r>
        <w:rPr>
          <w:rFonts w:hint="eastAsia" w:ascii="宋体" w:hAnsi="宋体" w:cs="宋体"/>
          <w:color w:val="auto"/>
          <w:sz w:val="24"/>
          <w:szCs w:val="24"/>
          <w:highlight w:val="none"/>
        </w:rPr>
        <w:t>3.定义</w:t>
      </w:r>
      <w:bookmarkEnd w:id="41"/>
    </w:p>
    <w:p w14:paraId="7BC45351">
      <w:pPr>
        <w:spacing w:before="0" w:after="0" w:line="288" w:lineRule="auto"/>
        <w:ind w:firstLine="480" w:firstLineChars="200"/>
        <w:outlineLvl w:val="9"/>
        <w:rPr>
          <w:rFonts w:hint="eastAsia" w:ascii="宋体" w:hAnsi="宋体" w:eastAsia="宋体" w:cs="宋体"/>
          <w:b w:val="0"/>
          <w:color w:val="auto"/>
          <w:sz w:val="24"/>
          <w:szCs w:val="24"/>
          <w:highlight w:val="none"/>
          <w:lang w:val="zh-CN" w:eastAsia="zh-CN" w:bidi="ar-SA"/>
        </w:rPr>
      </w:pPr>
      <w:bookmarkStart w:id="42" w:name="_Toc98580395"/>
      <w:r>
        <w:rPr>
          <w:rFonts w:hint="eastAsia" w:ascii="宋体" w:hAnsi="宋体" w:eastAsia="宋体" w:cs="宋体"/>
          <w:b w:val="0"/>
          <w:color w:val="auto"/>
          <w:sz w:val="24"/>
          <w:szCs w:val="24"/>
          <w:highlight w:val="none"/>
          <w:lang w:val="en-US" w:eastAsia="zh-CN" w:bidi="ar-SA"/>
        </w:rPr>
        <w:t>3</w:t>
      </w:r>
      <w:r>
        <w:rPr>
          <w:rFonts w:hint="eastAsia" w:ascii="宋体" w:hAnsi="宋体" w:eastAsia="宋体" w:cs="宋体"/>
          <w:b w:val="0"/>
          <w:color w:val="auto"/>
          <w:sz w:val="24"/>
          <w:szCs w:val="24"/>
          <w:highlight w:val="none"/>
          <w:lang w:val="zh-CN" w:eastAsia="zh-CN" w:bidi="ar-SA"/>
        </w:rPr>
        <w:t>.1</w:t>
      </w:r>
      <w:r>
        <w:rPr>
          <w:rFonts w:hint="eastAsia" w:ascii="宋体" w:hAnsi="宋体" w:eastAsia="宋体" w:cs="宋体"/>
          <w:b w:val="0"/>
          <w:color w:val="auto"/>
          <w:sz w:val="24"/>
          <w:szCs w:val="24"/>
          <w:highlight w:val="none"/>
          <w:lang w:val="en-US" w:eastAsia="zh-CN" w:bidi="ar-SA"/>
        </w:rPr>
        <w:t>“</w:t>
      </w:r>
      <w:r>
        <w:rPr>
          <w:rFonts w:hint="eastAsia" w:ascii="宋体" w:hAnsi="宋体" w:cs="宋体"/>
          <w:b w:val="0"/>
          <w:color w:val="auto"/>
          <w:sz w:val="24"/>
          <w:szCs w:val="24"/>
          <w:highlight w:val="none"/>
          <w:lang w:val="zh-CN" w:eastAsia="zh-CN" w:bidi="ar-SA"/>
        </w:rPr>
        <w:t>采购代理机构。</w:t>
      </w:r>
      <w:r>
        <w:rPr>
          <w:rFonts w:hint="eastAsia" w:ascii="宋体" w:hAnsi="宋体" w:eastAsia="宋体" w:cs="宋体"/>
          <w:b w:val="0"/>
          <w:color w:val="auto"/>
          <w:sz w:val="24"/>
          <w:szCs w:val="24"/>
          <w:highlight w:val="none"/>
          <w:lang w:val="en-US" w:eastAsia="zh-CN" w:bidi="ar-SA"/>
        </w:rPr>
        <w:t>”</w:t>
      </w:r>
      <w:r>
        <w:rPr>
          <w:rFonts w:hint="eastAsia" w:ascii="宋体" w:hAnsi="宋体" w:eastAsia="宋体" w:cs="宋体"/>
          <w:b w:val="0"/>
          <w:color w:val="auto"/>
          <w:sz w:val="24"/>
          <w:szCs w:val="24"/>
          <w:highlight w:val="none"/>
          <w:lang w:val="zh-CN" w:eastAsia="zh-CN" w:bidi="ar-SA"/>
        </w:rPr>
        <w:t>指</w:t>
      </w:r>
      <w:r>
        <w:rPr>
          <w:rFonts w:hint="eastAsia" w:ascii="宋体" w:hAnsi="宋体" w:cs="宋体"/>
          <w:b w:val="0"/>
          <w:color w:val="auto"/>
          <w:sz w:val="24"/>
          <w:szCs w:val="24"/>
          <w:highlight w:val="none"/>
          <w:lang w:val="en-US" w:eastAsia="zh-CN" w:bidi="ar-SA"/>
        </w:rPr>
        <w:t>吉林省智广工程项目管理有限公司</w:t>
      </w:r>
      <w:r>
        <w:rPr>
          <w:rFonts w:hint="eastAsia" w:ascii="宋体" w:hAnsi="宋体" w:eastAsia="宋体" w:cs="宋体"/>
          <w:b w:val="0"/>
          <w:color w:val="auto"/>
          <w:sz w:val="24"/>
          <w:szCs w:val="24"/>
          <w:highlight w:val="none"/>
          <w:lang w:val="zh-CN" w:eastAsia="zh-CN" w:bidi="ar-SA"/>
        </w:rPr>
        <w:t>，负责采购活动的组织工作。</w:t>
      </w:r>
    </w:p>
    <w:p w14:paraId="78391AB0">
      <w:pPr>
        <w:spacing w:before="0" w:after="0" w:line="288" w:lineRule="auto"/>
        <w:ind w:firstLine="480" w:firstLineChars="200"/>
        <w:outlineLvl w:val="9"/>
        <w:rPr>
          <w:rFonts w:hint="eastAsia" w:ascii="宋体" w:hAnsi="宋体" w:eastAsia="宋体" w:cs="宋体"/>
          <w:b w:val="0"/>
          <w:color w:val="auto"/>
          <w:sz w:val="24"/>
          <w:szCs w:val="24"/>
          <w:highlight w:val="none"/>
          <w:lang w:val="zh-CN" w:eastAsia="zh-CN" w:bidi="ar-SA"/>
        </w:rPr>
      </w:pPr>
      <w:r>
        <w:rPr>
          <w:rFonts w:hint="eastAsia" w:ascii="宋体" w:hAnsi="宋体" w:eastAsia="宋体" w:cs="宋体"/>
          <w:b w:val="0"/>
          <w:color w:val="auto"/>
          <w:sz w:val="24"/>
          <w:szCs w:val="24"/>
          <w:highlight w:val="none"/>
          <w:lang w:val="en-US" w:eastAsia="zh-CN" w:bidi="ar-SA"/>
        </w:rPr>
        <w:t>3</w:t>
      </w:r>
      <w:r>
        <w:rPr>
          <w:rFonts w:hint="eastAsia" w:ascii="宋体" w:hAnsi="宋体" w:eastAsia="宋体" w:cs="宋体"/>
          <w:b w:val="0"/>
          <w:color w:val="auto"/>
          <w:sz w:val="24"/>
          <w:szCs w:val="24"/>
          <w:highlight w:val="none"/>
          <w:lang w:val="zh-CN" w:eastAsia="zh-CN" w:bidi="ar-SA"/>
        </w:rPr>
        <w:t>.2</w:t>
      </w:r>
      <w:r>
        <w:rPr>
          <w:rFonts w:hint="eastAsia" w:ascii="宋体" w:hAnsi="宋体" w:eastAsia="宋体" w:cs="宋体"/>
          <w:b w:val="0"/>
          <w:color w:val="auto"/>
          <w:sz w:val="24"/>
          <w:szCs w:val="24"/>
          <w:highlight w:val="none"/>
          <w:lang w:val="en-US" w:eastAsia="zh-CN" w:bidi="ar-SA"/>
        </w:rPr>
        <w:t>“</w:t>
      </w:r>
      <w:r>
        <w:rPr>
          <w:rFonts w:hint="eastAsia" w:ascii="宋体" w:hAnsi="宋体" w:eastAsia="宋体" w:cs="宋体"/>
          <w:b w:val="0"/>
          <w:color w:val="auto"/>
          <w:sz w:val="24"/>
          <w:szCs w:val="24"/>
          <w:highlight w:val="none"/>
          <w:lang w:val="zh-CN" w:eastAsia="zh-CN" w:bidi="ar-SA"/>
        </w:rPr>
        <w:t>采购人</w:t>
      </w:r>
      <w:r>
        <w:rPr>
          <w:rFonts w:hint="eastAsia" w:ascii="宋体" w:hAnsi="宋体" w:eastAsia="宋体" w:cs="宋体"/>
          <w:b w:val="0"/>
          <w:color w:val="auto"/>
          <w:sz w:val="24"/>
          <w:szCs w:val="24"/>
          <w:highlight w:val="none"/>
          <w:lang w:val="en-US" w:eastAsia="zh-CN" w:bidi="ar-SA"/>
        </w:rPr>
        <w:t>”</w:t>
      </w:r>
      <w:r>
        <w:rPr>
          <w:rFonts w:hint="eastAsia" w:ascii="宋体" w:hAnsi="宋体" w:eastAsia="宋体" w:cs="宋体"/>
          <w:b w:val="0"/>
          <w:color w:val="auto"/>
          <w:sz w:val="24"/>
          <w:szCs w:val="24"/>
          <w:highlight w:val="none"/>
          <w:lang w:val="zh-CN" w:eastAsia="zh-CN" w:bidi="ar-SA"/>
        </w:rPr>
        <w:t>指</w:t>
      </w:r>
      <w:r>
        <w:rPr>
          <w:rFonts w:hint="eastAsia" w:ascii="宋体" w:hAnsi="宋体" w:cs="宋体"/>
          <w:b w:val="0"/>
          <w:color w:val="auto"/>
          <w:sz w:val="24"/>
          <w:szCs w:val="24"/>
          <w:highlight w:val="none"/>
          <w:lang w:val="zh-CN" w:eastAsia="zh-CN" w:bidi="ar-SA"/>
        </w:rPr>
        <w:t>吉林艺术学院</w:t>
      </w:r>
      <w:r>
        <w:rPr>
          <w:rFonts w:hint="eastAsia" w:ascii="宋体" w:hAnsi="宋体" w:eastAsia="宋体" w:cs="宋体"/>
          <w:b w:val="0"/>
          <w:color w:val="auto"/>
          <w:sz w:val="24"/>
          <w:szCs w:val="24"/>
          <w:highlight w:val="none"/>
          <w:lang w:val="zh-CN" w:eastAsia="zh-CN" w:bidi="ar-SA"/>
        </w:rPr>
        <w:t>，负责采购项目的整体规划、采购需求设计和可行性论证，作为合同的需方，承担质疑答复，合同履行、验收、评价等义务。</w:t>
      </w:r>
    </w:p>
    <w:p w14:paraId="2E678F94">
      <w:pPr>
        <w:spacing w:before="0" w:after="0" w:line="288" w:lineRule="auto"/>
        <w:ind w:firstLine="480" w:firstLineChars="200"/>
        <w:outlineLvl w:val="9"/>
        <w:rPr>
          <w:rFonts w:hint="eastAsia" w:ascii="宋体" w:hAnsi="宋体" w:eastAsia="宋体" w:cs="宋体"/>
          <w:b w:val="0"/>
          <w:color w:val="auto"/>
          <w:sz w:val="24"/>
          <w:szCs w:val="24"/>
          <w:highlight w:val="none"/>
          <w:lang w:val="zh-CN" w:eastAsia="zh-CN" w:bidi="ar-SA"/>
        </w:rPr>
      </w:pPr>
      <w:r>
        <w:rPr>
          <w:rFonts w:hint="eastAsia" w:ascii="宋体" w:hAnsi="宋体" w:eastAsia="宋体" w:cs="宋体"/>
          <w:b w:val="0"/>
          <w:color w:val="auto"/>
          <w:sz w:val="24"/>
          <w:szCs w:val="24"/>
          <w:highlight w:val="none"/>
          <w:lang w:val="en-US" w:eastAsia="zh-CN" w:bidi="ar-SA"/>
        </w:rPr>
        <w:t>3</w:t>
      </w:r>
      <w:r>
        <w:rPr>
          <w:rFonts w:hint="eastAsia" w:ascii="宋体" w:hAnsi="宋体" w:eastAsia="宋体" w:cs="宋体"/>
          <w:b w:val="0"/>
          <w:color w:val="auto"/>
          <w:sz w:val="24"/>
          <w:szCs w:val="24"/>
          <w:highlight w:val="none"/>
          <w:lang w:val="zh-CN" w:eastAsia="zh-CN" w:bidi="ar-SA"/>
        </w:rPr>
        <w:t>.3</w:t>
      </w:r>
      <w:r>
        <w:rPr>
          <w:rFonts w:hint="eastAsia" w:ascii="宋体" w:hAnsi="宋体" w:eastAsia="宋体" w:cs="宋体"/>
          <w:b w:val="0"/>
          <w:color w:val="auto"/>
          <w:sz w:val="24"/>
          <w:szCs w:val="24"/>
          <w:highlight w:val="none"/>
          <w:lang w:val="en-US" w:eastAsia="zh-CN" w:bidi="ar-SA"/>
        </w:rPr>
        <w:t>“</w:t>
      </w:r>
      <w:r>
        <w:rPr>
          <w:rFonts w:hint="eastAsia" w:ascii="宋体" w:hAnsi="宋体" w:eastAsia="宋体" w:cs="宋体"/>
          <w:b w:val="0"/>
          <w:color w:val="auto"/>
          <w:sz w:val="24"/>
          <w:szCs w:val="24"/>
          <w:highlight w:val="none"/>
          <w:lang w:val="zh-CN" w:eastAsia="zh-CN" w:bidi="ar-SA"/>
        </w:rPr>
        <w:t>招标内容</w:t>
      </w:r>
      <w:r>
        <w:rPr>
          <w:rFonts w:hint="eastAsia" w:ascii="宋体" w:hAnsi="宋体" w:eastAsia="宋体" w:cs="宋体"/>
          <w:b w:val="0"/>
          <w:color w:val="auto"/>
          <w:sz w:val="24"/>
          <w:szCs w:val="24"/>
          <w:highlight w:val="none"/>
          <w:lang w:val="en-US" w:eastAsia="zh-CN" w:bidi="ar-SA"/>
        </w:rPr>
        <w:t>”</w:t>
      </w:r>
      <w:r>
        <w:rPr>
          <w:rFonts w:hint="eastAsia" w:ascii="宋体" w:hAnsi="宋体" w:eastAsia="宋体" w:cs="宋体"/>
          <w:b w:val="0"/>
          <w:color w:val="auto"/>
          <w:sz w:val="24"/>
          <w:szCs w:val="24"/>
          <w:highlight w:val="none"/>
          <w:lang w:val="zh-CN" w:eastAsia="zh-CN" w:bidi="ar-SA"/>
        </w:rPr>
        <w:t>详见</w:t>
      </w:r>
      <w:r>
        <w:rPr>
          <w:rFonts w:hint="eastAsia" w:ascii="宋体" w:hAnsi="宋体" w:cs="宋体"/>
          <w:b w:val="0"/>
          <w:color w:val="auto"/>
          <w:sz w:val="24"/>
          <w:szCs w:val="24"/>
          <w:highlight w:val="none"/>
          <w:lang w:val="en-US" w:eastAsia="zh-CN" w:bidi="ar-SA"/>
        </w:rPr>
        <w:t>第四部分</w:t>
      </w:r>
      <w:r>
        <w:rPr>
          <w:rFonts w:hint="eastAsia" w:ascii="宋体" w:hAnsi="宋体" w:eastAsia="宋体" w:cs="宋体"/>
          <w:b w:val="0"/>
          <w:color w:val="auto"/>
          <w:sz w:val="24"/>
          <w:szCs w:val="24"/>
          <w:highlight w:val="none"/>
          <w:lang w:val="zh-CN" w:eastAsia="zh-CN" w:bidi="ar-SA"/>
        </w:rPr>
        <w:t>《</w:t>
      </w:r>
      <w:r>
        <w:rPr>
          <w:rFonts w:hint="eastAsia" w:ascii="宋体" w:hAnsi="宋体" w:cs="宋体"/>
          <w:b w:val="0"/>
          <w:color w:val="auto"/>
          <w:sz w:val="24"/>
          <w:szCs w:val="24"/>
          <w:highlight w:val="none"/>
          <w:lang w:val="en-US" w:eastAsia="zh-CN" w:bidi="ar-SA"/>
        </w:rPr>
        <w:t>采购需求</w:t>
      </w:r>
      <w:r>
        <w:rPr>
          <w:rFonts w:hint="eastAsia" w:ascii="宋体" w:hAnsi="宋体" w:eastAsia="宋体" w:cs="宋体"/>
          <w:b w:val="0"/>
          <w:color w:val="auto"/>
          <w:sz w:val="24"/>
          <w:szCs w:val="24"/>
          <w:highlight w:val="none"/>
          <w:lang w:val="zh-CN" w:eastAsia="zh-CN" w:bidi="ar-SA"/>
        </w:rPr>
        <w:t>》。</w:t>
      </w:r>
    </w:p>
    <w:p w14:paraId="2096DD3E">
      <w:pPr>
        <w:spacing w:before="0" w:after="0" w:line="288" w:lineRule="auto"/>
        <w:ind w:firstLine="480" w:firstLineChars="200"/>
        <w:outlineLvl w:val="9"/>
        <w:rPr>
          <w:rFonts w:hint="eastAsia" w:ascii="宋体" w:hAnsi="宋体" w:eastAsia="宋体" w:cs="宋体"/>
          <w:b w:val="0"/>
          <w:color w:val="auto"/>
          <w:sz w:val="24"/>
          <w:szCs w:val="24"/>
          <w:highlight w:val="none"/>
          <w:lang w:val="zh-CN" w:eastAsia="zh-CN" w:bidi="ar-SA"/>
        </w:rPr>
      </w:pPr>
      <w:r>
        <w:rPr>
          <w:rFonts w:hint="eastAsia" w:ascii="宋体" w:hAnsi="宋体" w:eastAsia="宋体" w:cs="宋体"/>
          <w:b w:val="0"/>
          <w:color w:val="auto"/>
          <w:sz w:val="24"/>
          <w:szCs w:val="24"/>
          <w:highlight w:val="none"/>
          <w:lang w:val="en-US" w:eastAsia="zh-CN" w:bidi="ar-SA"/>
        </w:rPr>
        <w:t>3</w:t>
      </w:r>
      <w:r>
        <w:rPr>
          <w:rFonts w:hint="eastAsia" w:ascii="宋体" w:hAnsi="宋体" w:eastAsia="宋体" w:cs="宋体"/>
          <w:b w:val="0"/>
          <w:color w:val="auto"/>
          <w:sz w:val="24"/>
          <w:szCs w:val="24"/>
          <w:highlight w:val="none"/>
          <w:lang w:val="zh-CN" w:eastAsia="zh-CN" w:bidi="ar-SA"/>
        </w:rPr>
        <w:t>.4</w:t>
      </w:r>
      <w:r>
        <w:rPr>
          <w:rFonts w:hint="eastAsia" w:ascii="宋体" w:hAnsi="宋体" w:eastAsia="宋体" w:cs="宋体"/>
          <w:b w:val="0"/>
          <w:color w:val="auto"/>
          <w:sz w:val="24"/>
          <w:szCs w:val="24"/>
          <w:highlight w:val="none"/>
          <w:lang w:val="en-US" w:eastAsia="zh-CN" w:bidi="ar-SA"/>
        </w:rPr>
        <w:t>“</w:t>
      </w:r>
      <w:r>
        <w:rPr>
          <w:rFonts w:hint="eastAsia" w:ascii="宋体" w:hAnsi="宋体" w:eastAsia="宋体" w:cs="宋体"/>
          <w:b w:val="0"/>
          <w:color w:val="auto"/>
          <w:sz w:val="24"/>
          <w:szCs w:val="24"/>
          <w:highlight w:val="none"/>
          <w:lang w:val="zh-CN" w:eastAsia="zh-CN" w:bidi="ar-SA"/>
        </w:rPr>
        <w:t>潜在投标人</w:t>
      </w:r>
      <w:r>
        <w:rPr>
          <w:rFonts w:hint="eastAsia" w:ascii="宋体" w:hAnsi="宋体" w:eastAsia="宋体" w:cs="宋体"/>
          <w:b w:val="0"/>
          <w:color w:val="auto"/>
          <w:sz w:val="24"/>
          <w:szCs w:val="24"/>
          <w:highlight w:val="none"/>
          <w:lang w:val="en-US" w:eastAsia="zh-CN" w:bidi="ar-SA"/>
        </w:rPr>
        <w:t>”</w:t>
      </w:r>
      <w:r>
        <w:rPr>
          <w:rFonts w:hint="eastAsia" w:ascii="宋体" w:hAnsi="宋体" w:eastAsia="宋体" w:cs="宋体"/>
          <w:b w:val="0"/>
          <w:color w:val="auto"/>
          <w:sz w:val="24"/>
          <w:szCs w:val="24"/>
          <w:highlight w:val="none"/>
          <w:lang w:val="zh-CN" w:eastAsia="zh-CN" w:bidi="ar-SA"/>
        </w:rPr>
        <w:t>指确认参加投标的供应商。</w:t>
      </w:r>
    </w:p>
    <w:p w14:paraId="0DF8E27B">
      <w:pPr>
        <w:spacing w:before="0" w:after="0" w:line="288" w:lineRule="auto"/>
        <w:ind w:firstLine="480" w:firstLineChars="200"/>
        <w:outlineLvl w:val="9"/>
        <w:rPr>
          <w:rFonts w:hint="eastAsia" w:ascii="宋体" w:hAnsi="宋体" w:eastAsia="宋体" w:cs="宋体"/>
          <w:b w:val="0"/>
          <w:color w:val="auto"/>
          <w:sz w:val="24"/>
          <w:szCs w:val="24"/>
          <w:highlight w:val="none"/>
          <w:lang w:val="zh-CN" w:eastAsia="zh-CN" w:bidi="ar-SA"/>
        </w:rPr>
      </w:pPr>
      <w:r>
        <w:rPr>
          <w:rFonts w:hint="eastAsia" w:ascii="宋体" w:hAnsi="宋体" w:eastAsia="宋体" w:cs="宋体"/>
          <w:b w:val="0"/>
          <w:color w:val="auto"/>
          <w:sz w:val="24"/>
          <w:szCs w:val="24"/>
          <w:highlight w:val="none"/>
          <w:lang w:val="en-US" w:eastAsia="zh-CN" w:bidi="ar-SA"/>
        </w:rPr>
        <w:t>3</w:t>
      </w:r>
      <w:r>
        <w:rPr>
          <w:rFonts w:hint="eastAsia" w:ascii="宋体" w:hAnsi="宋体" w:eastAsia="宋体" w:cs="宋体"/>
          <w:b w:val="0"/>
          <w:color w:val="auto"/>
          <w:sz w:val="24"/>
          <w:szCs w:val="24"/>
          <w:highlight w:val="none"/>
          <w:lang w:val="zh-CN" w:eastAsia="zh-CN" w:bidi="ar-SA"/>
        </w:rPr>
        <w:t>.5</w:t>
      </w:r>
      <w:r>
        <w:rPr>
          <w:rFonts w:hint="eastAsia" w:ascii="宋体" w:hAnsi="宋体" w:eastAsia="宋体" w:cs="宋体"/>
          <w:b w:val="0"/>
          <w:color w:val="auto"/>
          <w:sz w:val="24"/>
          <w:szCs w:val="24"/>
          <w:highlight w:val="none"/>
          <w:lang w:val="en-US" w:eastAsia="zh-CN" w:bidi="ar-SA"/>
        </w:rPr>
        <w:t>“</w:t>
      </w:r>
      <w:r>
        <w:rPr>
          <w:rFonts w:hint="eastAsia" w:ascii="宋体" w:hAnsi="宋体" w:eastAsia="宋体" w:cs="宋体"/>
          <w:b w:val="0"/>
          <w:color w:val="auto"/>
          <w:sz w:val="24"/>
          <w:szCs w:val="24"/>
          <w:highlight w:val="none"/>
          <w:lang w:val="zh-CN" w:eastAsia="zh-CN" w:bidi="ar-SA"/>
        </w:rPr>
        <w:t>投标人</w:t>
      </w:r>
      <w:r>
        <w:rPr>
          <w:rFonts w:hint="eastAsia" w:ascii="宋体" w:hAnsi="宋体" w:eastAsia="宋体" w:cs="宋体"/>
          <w:b w:val="0"/>
          <w:color w:val="auto"/>
          <w:sz w:val="24"/>
          <w:szCs w:val="24"/>
          <w:highlight w:val="none"/>
          <w:lang w:val="en-US" w:eastAsia="zh-CN" w:bidi="ar-SA"/>
        </w:rPr>
        <w:t>”</w:t>
      </w:r>
      <w:r>
        <w:rPr>
          <w:rFonts w:hint="eastAsia" w:ascii="宋体" w:hAnsi="宋体" w:eastAsia="宋体" w:cs="宋体"/>
          <w:b w:val="0"/>
          <w:color w:val="auto"/>
          <w:sz w:val="24"/>
          <w:szCs w:val="24"/>
          <w:highlight w:val="none"/>
          <w:lang w:val="zh-CN" w:eastAsia="zh-CN" w:bidi="ar-SA"/>
        </w:rPr>
        <w:t>指响应本招标文件参加投标的供应商。</w:t>
      </w:r>
    </w:p>
    <w:p w14:paraId="008221FA">
      <w:pPr>
        <w:spacing w:before="0" w:after="0" w:line="288"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4.合格的供应商</w:t>
      </w:r>
      <w:bookmarkEnd w:id="42"/>
    </w:p>
    <w:p w14:paraId="7EA367FF">
      <w:pPr>
        <w:spacing w:line="288"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4.1合格供应商必须符合供应商须知前附表第1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项下各项要求；</w:t>
      </w:r>
    </w:p>
    <w:p w14:paraId="116A8638">
      <w:pPr>
        <w:spacing w:line="288"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4.2供应商应仔细阅读招标文件的所有内容，按招标文件的要求提供投标文件，并保证所提供的全部资料的真实性，使其投标对招标文件做出实质性响应，否则，其投标将被拒绝。</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保留进一步要求供应商补充提供有关材料的权利，拒绝补充材料或提供材料不真实，将被视为自动放弃投标资格。</w:t>
      </w:r>
    </w:p>
    <w:p w14:paraId="645C4934">
      <w:pPr>
        <w:spacing w:line="288" w:lineRule="auto"/>
        <w:jc w:val="both"/>
        <w:outlineLvl w:val="9"/>
        <w:rPr>
          <w:rFonts w:ascii="宋体" w:hAnsi="宋体" w:cs="宋体"/>
          <w:b w:val="0"/>
          <w:bCs/>
          <w:color w:val="auto"/>
          <w:sz w:val="24"/>
          <w:szCs w:val="24"/>
          <w:highlight w:val="none"/>
        </w:rPr>
      </w:pPr>
      <w:bookmarkStart w:id="43" w:name="_Toc98580402"/>
      <w:r>
        <w:rPr>
          <w:rFonts w:hint="eastAsia" w:ascii="宋体" w:hAnsi="宋体" w:cs="宋体"/>
          <w:b w:val="0"/>
          <w:bCs/>
          <w:color w:val="auto"/>
          <w:sz w:val="24"/>
          <w:szCs w:val="24"/>
          <w:highlight w:val="none"/>
        </w:rPr>
        <w:t>5．投标费用</w:t>
      </w:r>
    </w:p>
    <w:p w14:paraId="27D824C0">
      <w:pPr>
        <w:spacing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供应商应承担其在投标准备、编制、递交投标文件和签订合同协议书的整个过程中发生的一切费用而不论其投标结果如何。</w:t>
      </w:r>
    </w:p>
    <w:p w14:paraId="5F10A328">
      <w:pPr>
        <w:pStyle w:val="4"/>
        <w:spacing w:before="0" w:after="0" w:line="288" w:lineRule="auto"/>
        <w:jc w:val="center"/>
        <w:outlineLvl w:val="2"/>
        <w:rPr>
          <w:rFonts w:ascii="宋体" w:hAnsi="宋体" w:eastAsia="宋体" w:cs="宋体"/>
          <w:color w:val="auto"/>
          <w:sz w:val="24"/>
          <w:szCs w:val="24"/>
          <w:highlight w:val="none"/>
        </w:rPr>
      </w:pPr>
      <w:bookmarkStart w:id="44" w:name="_Toc98580396"/>
      <w:r>
        <w:rPr>
          <w:rFonts w:hint="eastAsia" w:ascii="宋体" w:hAnsi="宋体" w:eastAsia="宋体" w:cs="宋体"/>
          <w:color w:val="auto"/>
          <w:sz w:val="24"/>
          <w:szCs w:val="24"/>
          <w:highlight w:val="none"/>
        </w:rPr>
        <w:t>B招标文件说明</w:t>
      </w:r>
      <w:bookmarkEnd w:id="44"/>
    </w:p>
    <w:p w14:paraId="37FC3E06">
      <w:pPr>
        <w:spacing w:before="0" w:after="0" w:line="288" w:lineRule="auto"/>
        <w:outlineLvl w:val="9"/>
        <w:rPr>
          <w:rFonts w:ascii="宋体" w:hAnsi="宋体" w:cs="宋体"/>
          <w:b w:val="0"/>
          <w:bCs/>
          <w:color w:val="auto"/>
          <w:sz w:val="24"/>
          <w:szCs w:val="24"/>
          <w:highlight w:val="none"/>
        </w:rPr>
      </w:pPr>
      <w:bookmarkStart w:id="45" w:name="_Toc98580397"/>
      <w:r>
        <w:rPr>
          <w:rFonts w:hint="eastAsia" w:ascii="宋体" w:hAnsi="宋体" w:cs="宋体"/>
          <w:b w:val="0"/>
          <w:bCs/>
          <w:color w:val="auto"/>
          <w:sz w:val="24"/>
          <w:szCs w:val="24"/>
          <w:highlight w:val="none"/>
        </w:rPr>
        <w:t>6.招标文件</w:t>
      </w:r>
      <w:bookmarkEnd w:id="45"/>
    </w:p>
    <w:p w14:paraId="641B2D69">
      <w:pPr>
        <w:spacing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招标文件用以阐明所需货物及服务、招标投标程序和投标文件格式。招标文件由以下部分组成：</w:t>
      </w:r>
    </w:p>
    <w:p w14:paraId="666ED598">
      <w:pPr>
        <w:spacing w:line="288" w:lineRule="auto"/>
        <w:ind w:firstLine="480" w:firstLineChars="200"/>
        <w:jc w:val="both"/>
        <w:rPr>
          <w:rFonts w:ascii="宋体" w:hAnsi="宋体" w:cs="宋体"/>
          <w:color w:val="auto"/>
          <w:sz w:val="24"/>
          <w:szCs w:val="24"/>
          <w:highlight w:val="none"/>
        </w:rPr>
      </w:pPr>
      <w:bookmarkStart w:id="46" w:name="_Toc98580398"/>
      <w:r>
        <w:rPr>
          <w:rFonts w:hint="eastAsia" w:ascii="宋体" w:hAnsi="宋体" w:cs="宋体"/>
          <w:color w:val="auto"/>
          <w:sz w:val="24"/>
          <w:szCs w:val="24"/>
          <w:highlight w:val="none"/>
        </w:rPr>
        <w:t>第一部分   招标公告</w:t>
      </w:r>
    </w:p>
    <w:p w14:paraId="39023AB6">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供应商须知</w:t>
      </w:r>
    </w:p>
    <w:p w14:paraId="41F6269E">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评标办法</w:t>
      </w:r>
    </w:p>
    <w:p w14:paraId="0519EF5F">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2731A865">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合同格式</w:t>
      </w:r>
    </w:p>
    <w:p w14:paraId="2090C14D">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投标文件格式</w:t>
      </w:r>
    </w:p>
    <w:p w14:paraId="249B8677">
      <w:pPr>
        <w:spacing w:before="0" w:after="0" w:line="288"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7.招标文件的澄清</w:t>
      </w:r>
      <w:bookmarkEnd w:id="46"/>
    </w:p>
    <w:p w14:paraId="3DA91DBD">
      <w:pPr>
        <w:spacing w:line="288"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供应商对本次招标文件的内容有疑问时，可要求澄清，但应在距投标截止日10日前，在</w:t>
      </w:r>
      <w:r>
        <w:rPr>
          <w:rFonts w:hint="eastAsia" w:ascii="宋体" w:hAnsi="宋体" w:cs="宋体"/>
          <w:color w:val="auto"/>
          <w:sz w:val="24"/>
          <w:szCs w:val="24"/>
          <w:highlight w:val="none"/>
          <w:lang w:eastAsia="zh-CN"/>
        </w:rPr>
        <w:t>“政采云”平台</w:t>
      </w:r>
      <w:r>
        <w:rPr>
          <w:rFonts w:hint="eastAsia" w:ascii="宋体" w:hAnsi="宋体" w:cs="宋体"/>
          <w:color w:val="auto"/>
          <w:sz w:val="24"/>
          <w:szCs w:val="24"/>
          <w:highlight w:val="none"/>
        </w:rPr>
        <w:t>上提交并电话通知采购代理机构，</w:t>
      </w:r>
      <w:r>
        <w:rPr>
          <w:color w:val="auto"/>
          <w:highlight w:val="none"/>
        </w:rPr>
        <w:fldChar w:fldCharType="begin"/>
      </w:r>
      <w:r>
        <w:rPr>
          <w:color w:val="auto"/>
          <w:highlight w:val="none"/>
        </w:rPr>
        <w:instrText xml:space="preserve"> HYPERLINK "mailto:同时将电子档疑问发至我公司信箱:HTZB0509@163.com" </w:instrText>
      </w:r>
      <w:r>
        <w:rPr>
          <w:color w:val="auto"/>
          <w:highlight w:val="none"/>
        </w:rPr>
        <w:fldChar w:fldCharType="separate"/>
      </w:r>
      <w:r>
        <w:rPr>
          <w:rFonts w:hint="eastAsia" w:ascii="宋体" w:hAnsi="宋体" w:cs="宋体"/>
          <w:color w:val="auto"/>
          <w:sz w:val="24"/>
          <w:szCs w:val="24"/>
          <w:highlight w:val="none"/>
        </w:rPr>
        <w:t>同时将</w:t>
      </w:r>
      <w:r>
        <w:rPr>
          <w:rFonts w:hint="eastAsia" w:ascii="宋体" w:hAnsi="宋体" w:cs="宋体"/>
          <w:color w:val="auto"/>
          <w:sz w:val="24"/>
          <w:szCs w:val="24"/>
          <w:highlight w:val="none"/>
          <w:lang w:val="en-US" w:eastAsia="zh-CN"/>
        </w:rPr>
        <w:t>书面</w:t>
      </w:r>
      <w:r>
        <w:rPr>
          <w:rFonts w:hint="eastAsia" w:ascii="宋体" w:hAnsi="宋体" w:cs="宋体"/>
          <w:color w:val="auto"/>
          <w:sz w:val="24"/>
          <w:szCs w:val="24"/>
          <w:highlight w:val="none"/>
        </w:rPr>
        <w:t>文本疑问</w:t>
      </w:r>
      <w:r>
        <w:rPr>
          <w:rFonts w:hint="eastAsia" w:ascii="宋体" w:hAnsi="宋体" w:cs="宋体"/>
          <w:color w:val="auto"/>
          <w:sz w:val="24"/>
          <w:szCs w:val="24"/>
          <w:highlight w:val="none"/>
          <w:lang w:val="en-US" w:eastAsia="zh-CN"/>
        </w:rPr>
        <w:t>送</w:t>
      </w:r>
      <w:r>
        <w:rPr>
          <w:rFonts w:hint="eastAsia" w:ascii="宋体" w:hAnsi="宋体" w:cs="宋体"/>
          <w:color w:val="auto"/>
          <w:sz w:val="24"/>
          <w:szCs w:val="24"/>
          <w:highlight w:val="none"/>
        </w:rPr>
        <w:t>至我公司</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，投标人逾期所提问题，不予解答。</w:t>
      </w:r>
      <w:bookmarkStart w:id="47" w:name="_Toc98580399"/>
      <w:r>
        <w:rPr>
          <w:rFonts w:hint="eastAsia" w:ascii="宋体" w:hAnsi="宋体" w:cs="宋体"/>
          <w:color w:val="auto"/>
          <w:sz w:val="24"/>
          <w:szCs w:val="24"/>
          <w:highlight w:val="none"/>
        </w:rPr>
        <w:t>招标文件澄清在</w:t>
      </w:r>
      <w:r>
        <w:rPr>
          <w:rFonts w:hint="eastAsia" w:ascii="宋体" w:hAnsi="宋体" w:cs="宋体"/>
          <w:color w:val="auto"/>
          <w:sz w:val="24"/>
          <w:szCs w:val="24"/>
          <w:highlight w:val="none"/>
          <w:lang w:eastAsia="zh-CN"/>
        </w:rPr>
        <w:t>“政采云”平台</w:t>
      </w:r>
      <w:r>
        <w:rPr>
          <w:rFonts w:hint="eastAsia" w:ascii="宋体" w:hAnsi="宋体" w:cs="宋体"/>
          <w:color w:val="auto"/>
          <w:sz w:val="24"/>
          <w:szCs w:val="24"/>
          <w:highlight w:val="none"/>
        </w:rPr>
        <w:t>发布，请潜在供应商在参加本项目活动期间关注网站信息，所有有意愿的供应商有义务在网上自行查询。</w:t>
      </w:r>
    </w:p>
    <w:p w14:paraId="49DE690B">
      <w:pPr>
        <w:spacing w:before="0" w:after="0" w:line="288"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8.招标文件的修改</w:t>
      </w:r>
      <w:bookmarkEnd w:id="47"/>
    </w:p>
    <w:p w14:paraId="6816DFB6">
      <w:pPr>
        <w:spacing w:line="288"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8.1在</w:t>
      </w:r>
      <w:r>
        <w:rPr>
          <w:rFonts w:hint="eastAsia" w:ascii="宋体" w:hAnsi="宋体" w:cs="宋体"/>
          <w:color w:val="auto"/>
          <w:sz w:val="24"/>
          <w:szCs w:val="24"/>
          <w:highlight w:val="none"/>
          <w:lang w:val="zh-CN"/>
        </w:rPr>
        <w:t>投标截止时间15日前</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可根据需要和（或）依据供应商要求澄清的问题而修改招标文件，并在</w:t>
      </w:r>
      <w:r>
        <w:rPr>
          <w:rFonts w:hint="eastAsia" w:ascii="宋体" w:hAnsi="宋体" w:cs="宋体"/>
          <w:color w:val="auto"/>
          <w:sz w:val="24"/>
          <w:szCs w:val="24"/>
          <w:highlight w:val="none"/>
          <w:lang w:eastAsia="zh-CN"/>
        </w:rPr>
        <w:t>“政采云”平台</w:t>
      </w:r>
      <w:r>
        <w:rPr>
          <w:rFonts w:hint="eastAsia" w:ascii="宋体" w:hAnsi="宋体" w:cs="宋体"/>
          <w:color w:val="auto"/>
          <w:sz w:val="24"/>
          <w:szCs w:val="24"/>
          <w:highlight w:val="none"/>
        </w:rPr>
        <w:t>上发布，请潜在供应商在参加与本项目活动期间关注网站信息，所有有意愿的供应商有义务在网上自行查询。</w:t>
      </w:r>
    </w:p>
    <w:p w14:paraId="4451FEDD">
      <w:pPr>
        <w:spacing w:line="288"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8.2 招标文件的修改书将构成招标文件的一部分，对供应商具有同样的约束力。</w:t>
      </w:r>
    </w:p>
    <w:p w14:paraId="3937477A">
      <w:pPr>
        <w:pStyle w:val="4"/>
        <w:spacing w:before="0" w:after="0" w:line="288" w:lineRule="auto"/>
        <w:jc w:val="center"/>
        <w:outlineLvl w:val="2"/>
        <w:rPr>
          <w:rFonts w:ascii="宋体" w:hAnsi="宋体" w:eastAsia="宋体" w:cs="宋体"/>
          <w:color w:val="auto"/>
          <w:sz w:val="24"/>
          <w:szCs w:val="24"/>
          <w:highlight w:val="none"/>
        </w:rPr>
      </w:pPr>
      <w:bookmarkStart w:id="48" w:name="_Toc98580400"/>
      <w:r>
        <w:rPr>
          <w:rFonts w:hint="eastAsia" w:ascii="宋体" w:hAnsi="宋体" w:eastAsia="宋体" w:cs="宋体"/>
          <w:color w:val="auto"/>
          <w:sz w:val="24"/>
          <w:szCs w:val="24"/>
          <w:highlight w:val="none"/>
        </w:rPr>
        <w:t>C投标文件的编写</w:t>
      </w:r>
      <w:bookmarkEnd w:id="48"/>
    </w:p>
    <w:p w14:paraId="6FCC64B7">
      <w:pPr>
        <w:spacing w:before="0" w:after="0" w:line="288" w:lineRule="auto"/>
        <w:outlineLvl w:val="9"/>
        <w:rPr>
          <w:rFonts w:ascii="宋体" w:hAnsi="宋体" w:cs="宋体"/>
          <w:color w:val="auto"/>
          <w:sz w:val="24"/>
          <w:szCs w:val="24"/>
          <w:highlight w:val="none"/>
        </w:rPr>
      </w:pPr>
      <w:bookmarkStart w:id="49" w:name="_Toc98580401"/>
      <w:r>
        <w:rPr>
          <w:rFonts w:hint="eastAsia" w:ascii="宋体" w:hAnsi="宋体" w:cs="宋体"/>
          <w:color w:val="auto"/>
          <w:sz w:val="24"/>
          <w:szCs w:val="24"/>
          <w:highlight w:val="none"/>
        </w:rPr>
        <w:t>9.投标语言及计量单位</w:t>
      </w:r>
      <w:bookmarkEnd w:id="49"/>
    </w:p>
    <w:p w14:paraId="2AD5D334">
      <w:pPr>
        <w:spacing w:line="288"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9.1投标文件及供应商和</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就投标交换的文件和来往信件，以中文书写（专有名词除外）；</w:t>
      </w:r>
    </w:p>
    <w:p w14:paraId="6E725769">
      <w:pPr>
        <w:spacing w:line="288"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9.2除在招标文件的“技术要求”中另有规定外， 计量单位应使用中华人民共和国法定计量单位（国际单位制和国家选定的其他计量单位）。</w:t>
      </w:r>
    </w:p>
    <w:p w14:paraId="76084826">
      <w:pPr>
        <w:spacing w:before="0" w:after="0" w:line="288"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10．投标文件的组成</w:t>
      </w:r>
      <w:bookmarkEnd w:id="43"/>
    </w:p>
    <w:p w14:paraId="660899B5">
      <w:pPr>
        <w:spacing w:line="288" w:lineRule="auto"/>
        <w:ind w:left="567"/>
        <w:jc w:val="both"/>
        <w:rPr>
          <w:rFonts w:ascii="宋体" w:hAnsi="宋体" w:cs="宋体"/>
          <w:color w:val="auto"/>
          <w:sz w:val="24"/>
          <w:szCs w:val="24"/>
          <w:highlight w:val="none"/>
        </w:rPr>
      </w:pPr>
      <w:r>
        <w:rPr>
          <w:rFonts w:hint="eastAsia" w:ascii="宋体" w:hAnsi="宋体" w:cs="宋体"/>
          <w:color w:val="auto"/>
          <w:sz w:val="24"/>
          <w:szCs w:val="24"/>
          <w:highlight w:val="none"/>
        </w:rPr>
        <w:t>详见第六部分：投标文件格式。</w:t>
      </w:r>
    </w:p>
    <w:p w14:paraId="46977B69">
      <w:pPr>
        <w:spacing w:before="0" w:after="0" w:line="288" w:lineRule="auto"/>
        <w:outlineLvl w:val="9"/>
        <w:rPr>
          <w:rFonts w:ascii="宋体" w:hAnsi="宋体" w:cs="宋体"/>
          <w:color w:val="auto"/>
          <w:sz w:val="24"/>
          <w:szCs w:val="24"/>
          <w:highlight w:val="none"/>
        </w:rPr>
      </w:pPr>
      <w:bookmarkStart w:id="50" w:name="_Toc98580403"/>
      <w:r>
        <w:rPr>
          <w:rFonts w:hint="eastAsia" w:ascii="宋体" w:hAnsi="宋体" w:cs="宋体"/>
          <w:color w:val="auto"/>
          <w:sz w:val="24"/>
          <w:szCs w:val="24"/>
          <w:highlight w:val="none"/>
        </w:rPr>
        <w:t>11.投标文件内容填写说明</w:t>
      </w:r>
      <w:bookmarkEnd w:id="50"/>
    </w:p>
    <w:p w14:paraId="21F4A75B">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11.1供应商应严格按招标文件要求的内容逐项填写编制投标文件，有规定格式的按规定格式填写，无规定格式的由供应商自拟。</w:t>
      </w:r>
    </w:p>
    <w:p w14:paraId="4F4C64C3">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11.2开标一览表为在开标仪式上唱标的内容，要求按格式填写、统一规范，不得自行增减内容。投标文件不得漏项或虚报，否则将可能导致其投标被拒绝。</w:t>
      </w:r>
    </w:p>
    <w:p w14:paraId="0DBF9DEB">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供应商应保证其所提供文件的真实性，并应对招标文件的实质性要求作出完全响应，否则其投标可能被拒绝。</w:t>
      </w:r>
    </w:p>
    <w:p w14:paraId="0FF91C19">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11.4供应商视需要自行编制技术文件的补充附件。规格幅面应与正文一致，附于正文之后，与正文页码统一</w:t>
      </w:r>
      <w:r>
        <w:rPr>
          <w:rFonts w:hint="eastAsia" w:ascii="宋体" w:hAnsi="宋体" w:eastAsia="宋体" w:cs="宋体"/>
          <w:color w:val="auto"/>
          <w:sz w:val="24"/>
          <w:szCs w:val="24"/>
          <w:highlight w:val="none"/>
          <w:lang w:val="en-US" w:eastAsia="zh-CN"/>
        </w:rPr>
        <w:t>目录</w:t>
      </w:r>
      <w:r>
        <w:rPr>
          <w:rFonts w:hint="eastAsia" w:ascii="宋体" w:hAnsi="宋体" w:eastAsia="宋体" w:cs="宋体"/>
          <w:color w:val="auto"/>
          <w:sz w:val="24"/>
          <w:szCs w:val="24"/>
          <w:highlight w:val="none"/>
        </w:rPr>
        <w:t>编码。</w:t>
      </w:r>
    </w:p>
    <w:p w14:paraId="1C4FD8D6">
      <w:pPr>
        <w:spacing w:before="0" w:after="0" w:line="288" w:lineRule="auto"/>
        <w:outlineLvl w:val="9"/>
        <w:rPr>
          <w:rFonts w:ascii="宋体" w:hAnsi="宋体" w:cs="宋体"/>
          <w:color w:val="auto"/>
          <w:sz w:val="24"/>
          <w:szCs w:val="24"/>
          <w:highlight w:val="none"/>
        </w:rPr>
      </w:pPr>
      <w:bookmarkStart w:id="51" w:name="_Toc98580404"/>
      <w:r>
        <w:rPr>
          <w:rFonts w:hint="eastAsia" w:ascii="宋体" w:hAnsi="宋体" w:cs="宋体"/>
          <w:color w:val="auto"/>
          <w:sz w:val="24"/>
          <w:szCs w:val="24"/>
          <w:highlight w:val="none"/>
        </w:rPr>
        <w:t>12.投标报价</w:t>
      </w:r>
      <w:bookmarkEnd w:id="51"/>
    </w:p>
    <w:p w14:paraId="03E2B32F">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所有投标均以人民币报价；</w:t>
      </w:r>
    </w:p>
    <w:p w14:paraId="6AE116F4">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12.2供应商应在填写分项报价表时注明各项单价、总价。如果单价与总价有出入，以单价为准。</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不接受有任何选择的报价；报价须有</w:t>
      </w:r>
      <w:r>
        <w:rPr>
          <w:rFonts w:hint="eastAsia" w:ascii="宋体" w:hAnsi="宋体" w:cs="宋体"/>
          <w:color w:val="auto"/>
          <w:sz w:val="24"/>
          <w:szCs w:val="24"/>
          <w:highlight w:val="none"/>
          <w:lang w:val="en-US" w:eastAsia="zh-CN"/>
        </w:rPr>
        <w:t>法定代表人</w:t>
      </w:r>
      <w:r>
        <w:rPr>
          <w:rFonts w:hint="eastAsia" w:ascii="宋体" w:hAnsi="宋体" w:eastAsia="宋体" w:cs="宋体"/>
          <w:color w:val="auto"/>
          <w:sz w:val="24"/>
          <w:szCs w:val="24"/>
          <w:highlight w:val="none"/>
        </w:rPr>
        <w:t>或授权代表签署。</w:t>
      </w:r>
    </w:p>
    <w:p w14:paraId="40090560">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12.3供应商应按上述12.1-12.3条款要求填写投标报价，以供评标委员会比较评价。</w:t>
      </w:r>
    </w:p>
    <w:p w14:paraId="10007747">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12.5供应商因承包本项目需支付的一切费用如：制作、拼装、检验、税金、运费、安装费、保险费、调试验收等费用均由供应商承担，并包含在所报的单价或总额价内。</w:t>
      </w:r>
    </w:p>
    <w:p w14:paraId="7045EDB9">
      <w:pPr>
        <w:spacing w:line="288" w:lineRule="auto"/>
        <w:rPr>
          <w:rFonts w:ascii="宋体" w:hAnsi="宋体" w:cs="宋体"/>
          <w:b w:val="0"/>
          <w:bCs/>
          <w:color w:val="auto"/>
          <w:sz w:val="24"/>
          <w:szCs w:val="24"/>
          <w:highlight w:val="none"/>
        </w:rPr>
      </w:pPr>
      <w:bookmarkStart w:id="52" w:name="_Toc98580405"/>
      <w:r>
        <w:rPr>
          <w:rFonts w:hint="eastAsia" w:ascii="宋体" w:hAnsi="宋体" w:cs="宋体"/>
          <w:b w:val="0"/>
          <w:bCs/>
          <w:color w:val="auto"/>
          <w:sz w:val="24"/>
          <w:szCs w:val="24"/>
          <w:highlight w:val="none"/>
        </w:rPr>
        <w:t>13.投标保证金</w:t>
      </w:r>
      <w:bookmarkEnd w:id="52"/>
    </w:p>
    <w:p w14:paraId="2FE3F00B">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13.1投标保证金的形式：见供应商须知前附表第13项。</w:t>
      </w:r>
    </w:p>
    <w:p w14:paraId="5B6BBD04">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13.2投标保证金的金额：见供应商须知前附表第13项； </w:t>
      </w:r>
    </w:p>
    <w:p w14:paraId="5A647037">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13.3递交方式：见供应商须知前附表第13项；</w:t>
      </w:r>
    </w:p>
    <w:p w14:paraId="20976F18">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13.4投标保证金用于保护本次招标免受因供应商不履行投标承诺及合同等行为而引起的风险；</w:t>
      </w:r>
    </w:p>
    <w:p w14:paraId="0B5A414A">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13.5未按13.1和13.2条款要求提交投标保证金的投标将被视为投标无效；</w:t>
      </w:r>
    </w:p>
    <w:p w14:paraId="1F6646F4">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未中标供应商的投标保证金将在中标通知书发出之日暨中标结果公告公布之日起5个工作日内，及时联系采购人或采购代理机构办理无息退还投标保证金手续因供应商自身原因导致无法及时退还的，采购人或采购代理机构将不承担资金占用费；</w:t>
      </w:r>
    </w:p>
    <w:p w14:paraId="59AE7BE4">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13.7中标人应在与采购人签订合同之日起5个工作日内及时联系采购代理机构办理投标保证金无息退还手续；</w:t>
      </w:r>
    </w:p>
    <w:p w14:paraId="34B00A28">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 发生下列情况之一，投标保证金将被没收：</w:t>
      </w:r>
    </w:p>
    <w:p w14:paraId="1C6771E9">
      <w:pPr>
        <w:spacing w:line="288"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（1）开标后在投标有效期间，供应商撤回其投标文件；</w:t>
      </w:r>
    </w:p>
    <w:p w14:paraId="7A2E38B5">
      <w:pPr>
        <w:spacing w:line="288"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（2）中标人不按本须知第26条规定签约；</w:t>
      </w:r>
    </w:p>
    <w:p w14:paraId="2FD67D01">
      <w:pPr>
        <w:spacing w:line="288"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（3）中标人不按本须知</w:t>
      </w:r>
      <w:r>
        <w:rPr>
          <w:rFonts w:hint="eastAsia" w:ascii="宋体" w:hAnsi="宋体" w:cs="宋体"/>
          <w:color w:val="auto"/>
          <w:sz w:val="24"/>
          <w:szCs w:val="24"/>
          <w:highlight w:val="none"/>
          <w:lang w:val="en-US" w:eastAsia="zh-CN"/>
        </w:rPr>
        <w:t>前附表</w:t>
      </w:r>
      <w:r>
        <w:rPr>
          <w:rFonts w:hint="eastAsia" w:ascii="宋体" w:hAnsi="宋体" w:cs="宋体"/>
          <w:color w:val="auto"/>
          <w:sz w:val="24"/>
          <w:szCs w:val="24"/>
          <w:highlight w:val="none"/>
        </w:rPr>
        <w:t>第</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条规定缴付中标服务费。</w:t>
      </w:r>
    </w:p>
    <w:p w14:paraId="6DBB6DA2">
      <w:pPr>
        <w:spacing w:before="0" w:after="0" w:line="288" w:lineRule="auto"/>
        <w:outlineLvl w:val="9"/>
        <w:rPr>
          <w:rFonts w:ascii="宋体" w:hAnsi="宋体" w:cs="宋体"/>
          <w:color w:val="auto"/>
          <w:sz w:val="24"/>
          <w:szCs w:val="24"/>
          <w:highlight w:val="none"/>
        </w:rPr>
      </w:pPr>
      <w:bookmarkStart w:id="53" w:name="_Toc98580406"/>
      <w:r>
        <w:rPr>
          <w:rFonts w:hint="eastAsia" w:ascii="宋体" w:hAnsi="宋体" w:cs="宋体"/>
          <w:color w:val="auto"/>
          <w:sz w:val="24"/>
          <w:szCs w:val="24"/>
          <w:highlight w:val="none"/>
        </w:rPr>
        <w:t>14.投标有效期</w:t>
      </w:r>
      <w:bookmarkEnd w:id="53"/>
    </w:p>
    <w:p w14:paraId="311AF239">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14.1从开标之日起，投标有效期为90天。不能满足投标有效期的投标，将被拒绝；</w:t>
      </w:r>
    </w:p>
    <w:p w14:paraId="566BAB40">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14.2特殊情况下，</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可于投标有效期满之前要求供应商延长投标有效期，这种要求和答复都应以书面、传真的形式进行。供应商可以拒绝接受延期要求。同意延长有效期的供应商不能修改投标文件。</w:t>
      </w:r>
    </w:p>
    <w:p w14:paraId="6603684F">
      <w:pPr>
        <w:spacing w:before="0" w:after="0" w:line="288" w:lineRule="auto"/>
        <w:outlineLvl w:val="9"/>
        <w:rPr>
          <w:rFonts w:ascii="宋体" w:hAnsi="宋体" w:cs="宋体"/>
          <w:color w:val="auto"/>
          <w:sz w:val="24"/>
          <w:szCs w:val="24"/>
          <w:highlight w:val="none"/>
        </w:rPr>
      </w:pPr>
      <w:bookmarkStart w:id="54" w:name="_Toc98580407"/>
      <w:r>
        <w:rPr>
          <w:rFonts w:hint="eastAsia" w:ascii="宋体" w:hAnsi="宋体" w:cs="宋体"/>
          <w:color w:val="auto"/>
          <w:sz w:val="24"/>
          <w:szCs w:val="24"/>
          <w:highlight w:val="none"/>
        </w:rPr>
        <w:t>15.投标文件的签署及规定</w:t>
      </w:r>
      <w:bookmarkEnd w:id="54"/>
      <w:r>
        <w:rPr>
          <w:rFonts w:hint="eastAsia" w:ascii="宋体" w:hAnsi="宋体" w:cs="宋体"/>
          <w:color w:val="auto"/>
          <w:sz w:val="24"/>
          <w:szCs w:val="24"/>
          <w:highlight w:val="none"/>
          <w:lang w:eastAsia="zh-CN"/>
        </w:rPr>
        <w:t>（采用电子招标的，以政采云平台以及采购文件要求为准）</w:t>
      </w:r>
    </w:p>
    <w:p w14:paraId="4ECC6743">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组成投标文件的各项资料均应遵守本须知第10条中所规定的内容。</w:t>
      </w:r>
    </w:p>
    <w:p w14:paraId="4E2F403B">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供应商应填写单位全称，同时加盖印章。</w:t>
      </w:r>
    </w:p>
    <w:p w14:paraId="3A6AB1DC">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投标文件必须由法人代表或法人授权代表签署。</w:t>
      </w:r>
    </w:p>
    <w:p w14:paraId="73D9C8F7">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投标文件不得涂改和增删，如有修改错漏处，必须由同一签署人签字或盖章。</w:t>
      </w:r>
    </w:p>
    <w:p w14:paraId="4356916F">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投标文件因字迹潦草或表达不清所引起的后果由供应商负责。</w:t>
      </w:r>
    </w:p>
    <w:p w14:paraId="1C980B63">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概不接受以电话、传真形式的投标。</w:t>
      </w:r>
    </w:p>
    <w:p w14:paraId="6139C49C">
      <w:pPr>
        <w:pStyle w:val="4"/>
        <w:spacing w:before="0" w:after="0" w:line="288" w:lineRule="auto"/>
        <w:jc w:val="center"/>
        <w:outlineLvl w:val="2"/>
        <w:rPr>
          <w:rFonts w:ascii="宋体" w:hAnsi="宋体" w:eastAsia="宋体" w:cs="宋体"/>
          <w:color w:val="auto"/>
          <w:sz w:val="24"/>
          <w:szCs w:val="24"/>
          <w:highlight w:val="none"/>
        </w:rPr>
      </w:pPr>
      <w:bookmarkStart w:id="55" w:name="_Toc98580408"/>
      <w:r>
        <w:rPr>
          <w:rFonts w:hint="eastAsia" w:ascii="宋体" w:hAnsi="宋体" w:eastAsia="宋体" w:cs="宋体"/>
          <w:color w:val="auto"/>
          <w:sz w:val="24"/>
          <w:szCs w:val="24"/>
          <w:highlight w:val="none"/>
        </w:rPr>
        <w:t>D投标文件的递交</w:t>
      </w:r>
      <w:bookmarkEnd w:id="55"/>
    </w:p>
    <w:p w14:paraId="5519FC5C">
      <w:pPr>
        <w:spacing w:before="0" w:after="0" w:line="288" w:lineRule="auto"/>
        <w:outlineLvl w:val="9"/>
        <w:rPr>
          <w:rFonts w:ascii="宋体" w:hAnsi="宋体" w:cs="宋体"/>
          <w:color w:val="auto"/>
          <w:sz w:val="24"/>
          <w:szCs w:val="24"/>
          <w:highlight w:val="none"/>
        </w:rPr>
      </w:pPr>
      <w:bookmarkStart w:id="56" w:name="_Toc98580409"/>
      <w:r>
        <w:rPr>
          <w:rFonts w:hint="eastAsia" w:ascii="宋体" w:hAnsi="宋体" w:cs="宋体"/>
          <w:color w:val="auto"/>
          <w:sz w:val="24"/>
          <w:szCs w:val="24"/>
          <w:highlight w:val="none"/>
        </w:rPr>
        <w:t>16.投标文件的密封和标记</w:t>
      </w:r>
      <w:bookmarkEnd w:id="56"/>
      <w:r>
        <w:rPr>
          <w:rFonts w:hint="eastAsia" w:ascii="宋体" w:hAnsi="宋体" w:cs="宋体"/>
          <w:color w:val="auto"/>
          <w:sz w:val="24"/>
          <w:szCs w:val="24"/>
          <w:highlight w:val="none"/>
          <w:lang w:eastAsia="zh-CN"/>
        </w:rPr>
        <w:t>（采用电子招标的，以政采云平台以及采购文件要求为准）</w:t>
      </w:r>
    </w:p>
    <w:p w14:paraId="2559F0BC">
      <w:pPr>
        <w:spacing w:before="0" w:after="0" w:line="288" w:lineRule="auto"/>
        <w:outlineLvl w:val="9"/>
        <w:rPr>
          <w:rFonts w:ascii="宋体" w:hAnsi="宋体" w:cs="宋体"/>
          <w:color w:val="auto"/>
          <w:sz w:val="24"/>
          <w:szCs w:val="24"/>
          <w:highlight w:val="none"/>
        </w:rPr>
      </w:pPr>
      <w:bookmarkStart w:id="57" w:name="_Toc98580410"/>
      <w:r>
        <w:rPr>
          <w:rFonts w:hint="eastAsia" w:ascii="宋体" w:hAnsi="宋体" w:cs="宋体"/>
          <w:color w:val="auto"/>
          <w:sz w:val="24"/>
          <w:szCs w:val="24"/>
          <w:highlight w:val="none"/>
        </w:rPr>
        <w:t>17.递交投标文件的截止时间</w:t>
      </w:r>
      <w:bookmarkEnd w:id="57"/>
    </w:p>
    <w:p w14:paraId="4571EE86">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17.1所有投标文件都必须按照</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在投标邀请中规定的投标截止时间之前</w:t>
      </w: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w:t>
      </w:r>
    </w:p>
    <w:p w14:paraId="4FA3ABBC">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17.2 </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推迟投标截止时间时，在</w:t>
      </w:r>
      <w:r>
        <w:rPr>
          <w:rFonts w:hint="eastAsia" w:ascii="宋体" w:hAnsi="宋体" w:eastAsia="宋体" w:cs="宋体"/>
          <w:color w:val="auto"/>
          <w:sz w:val="24"/>
          <w:szCs w:val="24"/>
          <w:highlight w:val="none"/>
          <w:lang w:eastAsia="zh-CN"/>
        </w:rPr>
        <w:t>“政采云”平台</w:t>
      </w:r>
      <w:r>
        <w:rPr>
          <w:rFonts w:hint="eastAsia" w:ascii="宋体" w:hAnsi="宋体" w:eastAsia="宋体" w:cs="宋体"/>
          <w:color w:val="auto"/>
          <w:sz w:val="24"/>
          <w:szCs w:val="24"/>
          <w:highlight w:val="none"/>
        </w:rPr>
        <w:t>上发布推迟信息。在这种情况下，</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和供应商的权利和义务将受到新的截止期的约束。</w:t>
      </w:r>
    </w:p>
    <w:p w14:paraId="67360FDD">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在投标截止时间以后</w:t>
      </w: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的投标文件，</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拒绝接收。</w:t>
      </w:r>
    </w:p>
    <w:p w14:paraId="475660FD">
      <w:pPr>
        <w:spacing w:line="288" w:lineRule="auto"/>
        <w:outlineLvl w:val="9"/>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18.投标文件修改和</w:t>
      </w:r>
      <w:r>
        <w:rPr>
          <w:rFonts w:hint="eastAsia" w:ascii="宋体" w:hAnsi="宋体" w:cs="宋体"/>
          <w:b w:val="0"/>
          <w:bCs w:val="0"/>
          <w:color w:val="auto"/>
          <w:sz w:val="24"/>
          <w:szCs w:val="24"/>
          <w:highlight w:val="none"/>
          <w:lang w:val="en-US" w:eastAsia="zh-CN"/>
        </w:rPr>
        <w:t>撤销</w:t>
      </w:r>
    </w:p>
    <w:p w14:paraId="3AEB1994">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投标以后，如果供应商提出书面修改和撤标要求，在投标截止时间前送达</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者，</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可以予以接受。</w:t>
      </w:r>
    </w:p>
    <w:p w14:paraId="1130AA8B">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撤销</w:t>
      </w:r>
      <w:r>
        <w:rPr>
          <w:rFonts w:hint="eastAsia" w:ascii="宋体" w:hAnsi="宋体" w:eastAsia="宋体" w:cs="宋体"/>
          <w:color w:val="auto"/>
          <w:sz w:val="24"/>
          <w:szCs w:val="24"/>
          <w:highlight w:val="none"/>
        </w:rPr>
        <w:t>投标应以书面(或传真)的形式通知</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如采取传真形式撤回投标，随后必须补充有</w:t>
      </w:r>
      <w:r>
        <w:rPr>
          <w:rFonts w:hint="eastAsia" w:ascii="宋体" w:hAnsi="宋体" w:cs="宋体"/>
          <w:color w:val="auto"/>
          <w:sz w:val="24"/>
          <w:szCs w:val="24"/>
          <w:highlight w:val="none"/>
          <w:lang w:val="en-US" w:eastAsia="zh-CN"/>
        </w:rPr>
        <w:t>法定代表人</w:t>
      </w:r>
      <w:r>
        <w:rPr>
          <w:rFonts w:hint="eastAsia" w:ascii="宋体" w:hAnsi="宋体" w:eastAsia="宋体" w:cs="宋体"/>
          <w:color w:val="auto"/>
          <w:sz w:val="24"/>
          <w:szCs w:val="24"/>
          <w:highlight w:val="none"/>
        </w:rPr>
        <w:t>或授权代表签署的要求</w:t>
      </w:r>
      <w:r>
        <w:rPr>
          <w:rFonts w:hint="eastAsia" w:ascii="宋体" w:hAnsi="宋体" w:cs="宋体"/>
          <w:color w:val="auto"/>
          <w:sz w:val="24"/>
          <w:szCs w:val="24"/>
          <w:highlight w:val="none"/>
          <w:lang w:val="en-US" w:eastAsia="zh-CN"/>
        </w:rPr>
        <w:t>撤销</w:t>
      </w:r>
      <w:r>
        <w:rPr>
          <w:rFonts w:hint="eastAsia" w:ascii="宋体" w:hAnsi="宋体" w:eastAsia="宋体" w:cs="宋体"/>
          <w:color w:val="auto"/>
          <w:sz w:val="24"/>
          <w:szCs w:val="24"/>
          <w:highlight w:val="none"/>
        </w:rPr>
        <w:t>投标的正式文件。</w:t>
      </w:r>
      <w:r>
        <w:rPr>
          <w:rFonts w:hint="eastAsia" w:ascii="宋体" w:hAnsi="宋体" w:cs="宋体"/>
          <w:color w:val="auto"/>
          <w:sz w:val="24"/>
          <w:szCs w:val="24"/>
          <w:highlight w:val="none"/>
          <w:lang w:val="en-US" w:eastAsia="zh-CN"/>
        </w:rPr>
        <w:t>撤销</w:t>
      </w:r>
      <w:r>
        <w:rPr>
          <w:rFonts w:hint="eastAsia" w:ascii="宋体" w:hAnsi="宋体" w:eastAsia="宋体" w:cs="宋体"/>
          <w:color w:val="auto"/>
          <w:sz w:val="24"/>
          <w:szCs w:val="24"/>
          <w:highlight w:val="none"/>
        </w:rPr>
        <w:t>投标的时间以送达</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或邮电到达日戳为准。</w:t>
      </w:r>
    </w:p>
    <w:p w14:paraId="569FED76">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投标截止时间以后不得修改投标文件；</w:t>
      </w:r>
    </w:p>
    <w:p w14:paraId="41A0575F">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开标后供应商不得撤回投标。</w:t>
      </w:r>
    </w:p>
    <w:p w14:paraId="2F3E4F79">
      <w:pPr>
        <w:pStyle w:val="4"/>
        <w:spacing w:before="0" w:after="0" w:line="288" w:lineRule="auto"/>
        <w:jc w:val="center"/>
        <w:outlineLvl w:val="2"/>
        <w:rPr>
          <w:rFonts w:ascii="宋体" w:hAnsi="宋体" w:eastAsia="宋体" w:cs="宋体"/>
          <w:color w:val="auto"/>
          <w:sz w:val="24"/>
          <w:szCs w:val="24"/>
          <w:highlight w:val="none"/>
        </w:rPr>
      </w:pPr>
      <w:bookmarkStart w:id="58" w:name="_Toc98580411"/>
      <w:r>
        <w:rPr>
          <w:rFonts w:hint="eastAsia" w:ascii="宋体" w:hAnsi="宋体" w:eastAsia="宋体" w:cs="宋体"/>
          <w:color w:val="auto"/>
          <w:sz w:val="24"/>
          <w:szCs w:val="24"/>
          <w:highlight w:val="none"/>
        </w:rPr>
        <w:t>E开标及评标</w:t>
      </w:r>
      <w:bookmarkEnd w:id="58"/>
    </w:p>
    <w:p w14:paraId="40B6F39D">
      <w:pPr>
        <w:spacing w:before="0" w:after="0" w:line="288" w:lineRule="auto"/>
        <w:outlineLvl w:val="9"/>
        <w:rPr>
          <w:rFonts w:ascii="宋体" w:hAnsi="宋体" w:cs="宋体"/>
          <w:color w:val="auto"/>
          <w:sz w:val="24"/>
          <w:szCs w:val="24"/>
          <w:highlight w:val="none"/>
        </w:rPr>
      </w:pPr>
      <w:bookmarkStart w:id="59" w:name="_Toc98580412"/>
      <w:r>
        <w:rPr>
          <w:rFonts w:hint="eastAsia" w:ascii="宋体" w:hAnsi="宋体" w:cs="宋体"/>
          <w:color w:val="auto"/>
          <w:sz w:val="24"/>
          <w:szCs w:val="24"/>
          <w:highlight w:val="none"/>
        </w:rPr>
        <w:t>19.开标</w:t>
      </w:r>
      <w:bookmarkEnd w:id="59"/>
    </w:p>
    <w:p w14:paraId="4D1FF1F6">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采购代理机构按招标文件规定的时间、地点主持公开开标。开标仪式由采购代理机构主持，采购人代表及有关工作人员参加。</w:t>
      </w:r>
    </w:p>
    <w:p w14:paraId="5193980F">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供应商派代表</w:t>
      </w:r>
      <w:r>
        <w:rPr>
          <w:rFonts w:hint="eastAsia" w:ascii="宋体" w:hAnsi="宋体" w:eastAsia="宋体" w:cs="宋体"/>
          <w:color w:val="auto"/>
          <w:sz w:val="24"/>
          <w:szCs w:val="24"/>
          <w:highlight w:val="none"/>
          <w:lang w:val="en-US" w:eastAsia="zh-CN"/>
        </w:rPr>
        <w:t>线上</w:t>
      </w:r>
      <w:r>
        <w:rPr>
          <w:rFonts w:hint="eastAsia" w:ascii="宋体" w:hAnsi="宋体" w:eastAsia="宋体" w:cs="宋体"/>
          <w:color w:val="auto"/>
          <w:sz w:val="24"/>
          <w:szCs w:val="24"/>
          <w:highlight w:val="none"/>
        </w:rPr>
        <w:t>参加开标仪式。</w:t>
      </w:r>
    </w:p>
    <w:p w14:paraId="49673AC7">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采购代理机构在开标仪式上，将公开唱出所有供应商的“开标一览表”内容及投标声明，以及采购机构认为合适的其它内容并记录。</w:t>
      </w:r>
    </w:p>
    <w:p w14:paraId="59563BD9">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开标前，投标文件有下列情况之一的供应商不予受理：</w:t>
      </w:r>
    </w:p>
    <w:p w14:paraId="0199231B">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.1逾期送达或未送达指定地点的；</w:t>
      </w:r>
    </w:p>
    <w:p w14:paraId="539F41B6">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.2未按招标文件要求</w:t>
      </w:r>
      <w:r>
        <w:rPr>
          <w:rFonts w:hint="eastAsia" w:ascii="宋体" w:hAnsi="宋体" w:eastAsia="宋体" w:cs="宋体"/>
          <w:color w:val="auto"/>
          <w:sz w:val="24"/>
          <w:szCs w:val="24"/>
          <w:highlight w:val="none"/>
          <w:lang w:val="en-US" w:eastAsia="zh-CN"/>
        </w:rPr>
        <w:t>加密</w:t>
      </w:r>
      <w:r>
        <w:rPr>
          <w:rFonts w:hint="eastAsia" w:ascii="宋体" w:hAnsi="宋体" w:eastAsia="宋体" w:cs="宋体"/>
          <w:color w:val="auto"/>
          <w:sz w:val="24"/>
          <w:szCs w:val="24"/>
          <w:highlight w:val="none"/>
        </w:rPr>
        <w:t>的。</w:t>
      </w:r>
    </w:p>
    <w:p w14:paraId="27B93F09">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开标后,直到宣布授予中标单位合同为止,凡属于审查、澄清、评价和比较投标的所有</w:t>
      </w:r>
      <w:r>
        <w:rPr>
          <w:rFonts w:hint="eastAsia" w:ascii="宋体" w:hAnsi="宋体" w:eastAsia="宋体" w:cs="宋体"/>
          <w:color w:val="auto"/>
          <w:sz w:val="24"/>
          <w:szCs w:val="24"/>
          <w:highlight w:val="none"/>
          <w:lang w:val="en-US" w:eastAsia="zh-CN"/>
        </w:rPr>
        <w:t>资</w:t>
      </w:r>
      <w:r>
        <w:rPr>
          <w:rFonts w:hint="eastAsia" w:ascii="宋体" w:hAnsi="宋体" w:eastAsia="宋体" w:cs="宋体"/>
          <w:color w:val="auto"/>
          <w:sz w:val="24"/>
          <w:szCs w:val="24"/>
          <w:highlight w:val="none"/>
        </w:rPr>
        <w:t>料,有关授予合同的信息,都不应该向投标无关的其他人泄露。</w:t>
      </w:r>
    </w:p>
    <w:p w14:paraId="3B0F77C6">
      <w:pPr>
        <w:spacing w:before="0" w:after="0" w:line="288" w:lineRule="auto"/>
        <w:outlineLvl w:val="9"/>
        <w:rPr>
          <w:rFonts w:ascii="宋体" w:hAnsi="宋体" w:cs="宋体"/>
          <w:color w:val="auto"/>
          <w:sz w:val="24"/>
          <w:szCs w:val="24"/>
          <w:highlight w:val="none"/>
        </w:rPr>
      </w:pPr>
      <w:bookmarkStart w:id="60" w:name="_Toc98580413"/>
      <w:r>
        <w:rPr>
          <w:rFonts w:hint="eastAsia" w:ascii="宋体" w:hAnsi="宋体" w:cs="宋体"/>
          <w:color w:val="auto"/>
          <w:sz w:val="24"/>
          <w:szCs w:val="24"/>
          <w:highlight w:val="none"/>
        </w:rPr>
        <w:t>20.对投标文件的初审</w:t>
      </w:r>
      <w:bookmarkEnd w:id="60"/>
    </w:p>
    <w:p w14:paraId="0D91F0A5">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20.1 采购人根据招标项目特点组建评标委员会，采购人代表和技术经济及其他有关方面的专家组成。 </w:t>
      </w:r>
    </w:p>
    <w:p w14:paraId="3912DFC2">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采购人或者采购代理机构将审查每个投标人提交的资格审查文件是否齐全完整，是否合法有效，是否有重大偏离和保留，是否符合招标文件要求。投标人资格审查不符合招标文件要求的投标文件将被拒绝。</w:t>
      </w:r>
    </w:p>
    <w:p w14:paraId="29AEEA8F">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对于资格审查合格的投标人，评标委员会将审查其投标文件商务和技术部分是否对招标文件规定的事项、格式、条款和技术规格等要求都做出了实质性响应。实质性响应的投标是指与招标文件规定的事项、条款、条件和技术规格相符，没有重大偏离和保留。没有实质性响应招标文件要求的投标将被拒绝。</w:t>
      </w:r>
    </w:p>
    <w:p w14:paraId="0AA655F2">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初审中，对价格的计算错误按下述原则修正：</w:t>
      </w:r>
    </w:p>
    <w:p w14:paraId="6283EB88">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如果单价乘数量不等于总价，应以单价为准修正总价。</w:t>
      </w:r>
    </w:p>
    <w:p w14:paraId="28F49F0B">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如果以文字表示的数据与数字表示的有差别，应以文字为准修正数字。</w:t>
      </w:r>
    </w:p>
    <w:p w14:paraId="312ADCD0">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供应商不同意以上修正，则其投标将被拒绝。</w:t>
      </w:r>
    </w:p>
    <w:p w14:paraId="7086318D">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与招标文件有重大偏离的投标文件将被视为具有非实质响应性的投标文件而被拒绝。</w:t>
      </w:r>
    </w:p>
    <w:p w14:paraId="0B5540BB">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偏离系指投标项目的供货范围、质量、数量及交货期明显不能满足招标文件的要求，或限制了采购人的权力和供应商的义务的规定，而纠正这些偏离将影响到其它提交实质性响应投标的供应商的公平竞争地位。这些偏离不允许在开标后修正。但</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将允许修改投标中不构成重大偏离的、微小的、非正规的、不一致或不规则的地方。评委会对投标文件的判定，只依据投标内容本身，不依据开标后的任何外来证明。</w:t>
      </w:r>
    </w:p>
    <w:p w14:paraId="1155E58D">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 投标有下列情况之一者，将被视为非实质性响应的投标而被拒绝：</w:t>
      </w:r>
    </w:p>
    <w:p w14:paraId="4632821F">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资格条件及证明文件不符合招标文件要求的；</w:t>
      </w:r>
    </w:p>
    <w:p w14:paraId="193BE499">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投标文件无公章或无法定代表人签字，或签字人无法定代表人有效授权书的，或未按要求签字、盖公章的；</w:t>
      </w:r>
    </w:p>
    <w:p w14:paraId="10D3C4AF">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不能满足投标有效期的；</w:t>
      </w:r>
    </w:p>
    <w:p w14:paraId="4C8307A4">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投标明显不符合技术规格、技术标准的要求；</w:t>
      </w:r>
    </w:p>
    <w:p w14:paraId="66ED291D">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投标文件附有买方不能接受的条件；</w:t>
      </w:r>
    </w:p>
    <w:p w14:paraId="43F2800B">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投标报价超过</w:t>
      </w:r>
      <w:r>
        <w:rPr>
          <w:rFonts w:hint="eastAsia" w:ascii="宋体" w:hAnsi="宋体" w:eastAsia="宋体" w:cs="宋体"/>
          <w:color w:val="auto"/>
          <w:sz w:val="24"/>
          <w:szCs w:val="24"/>
          <w:highlight w:val="none"/>
          <w:lang w:val="zh-CN"/>
        </w:rPr>
        <w:t>预算金额</w:t>
      </w:r>
      <w:r>
        <w:rPr>
          <w:rFonts w:hint="eastAsia" w:ascii="宋体" w:hAnsi="宋体" w:eastAsia="宋体" w:cs="宋体"/>
          <w:color w:val="auto"/>
          <w:sz w:val="24"/>
          <w:szCs w:val="24"/>
          <w:highlight w:val="none"/>
        </w:rPr>
        <w:t>的；</w:t>
      </w:r>
    </w:p>
    <w:p w14:paraId="1C5A5A0C">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未响应招标文件规定的其它实质性条款。</w:t>
      </w:r>
    </w:p>
    <w:p w14:paraId="78BFD2F9">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20.5</w:t>
      </w:r>
      <w:r>
        <w:rPr>
          <w:rFonts w:hint="eastAsia" w:ascii="宋体" w:hAnsi="宋体" w:eastAsia="宋体" w:cs="宋体"/>
          <w:color w:val="auto"/>
          <w:sz w:val="24"/>
          <w:szCs w:val="24"/>
          <w:highlight w:val="none"/>
          <w:lang w:val="zh-CN"/>
        </w:rPr>
        <w:t>审查投标人是否存在串通投标行为：</w:t>
      </w:r>
    </w:p>
    <w:p w14:paraId="7225F0A1">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评标委员会发现投标人有下列情形之一的，将认定属于串通投标行为，相关投标人的投标应作废标处理。评标结束后，招标机构将以书面形式报告吉林省政府采购监督管理部门：</w:t>
      </w:r>
    </w:p>
    <w:p w14:paraId="2CBA73A7">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（1）不同投标人的投标文件中错、漏之处相同的；</w:t>
      </w:r>
    </w:p>
    <w:p w14:paraId="43D38B92">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5D736D70">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（3）一家投标人的投标文件中加盖了另一家投标人公章的；</w:t>
      </w:r>
    </w:p>
    <w:p w14:paraId="32F0DCF7">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（4）不同投标人的投标文件中，项目成员出现同一人的；</w:t>
      </w:r>
    </w:p>
    <w:p w14:paraId="7EDB8D2A">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（5）不同投标人的投标文件的制作非正常一致的；</w:t>
      </w:r>
    </w:p>
    <w:p w14:paraId="7B463FA9">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（6）不同投标人的投标文件中相关内容的段落、字句、售后服务电话、联系人姓名等非正常一致的；</w:t>
      </w:r>
    </w:p>
    <w:p w14:paraId="7D74AD49">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（7）一家投标人的投标文件中装订了标有另一家投标人名称的文件材料，或者出现了另一家法定代表人或者授予代理人签名的，其投标作废标处理；</w:t>
      </w:r>
    </w:p>
    <w:p w14:paraId="2C96A227">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（8）不同投标人的投标文件由同一投标人或者同一个人编制的；</w:t>
      </w:r>
    </w:p>
    <w:p w14:paraId="60B272A1">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（9）投标人串通投标的其他情形。</w:t>
      </w:r>
    </w:p>
    <w:p w14:paraId="6478289D">
      <w:pPr>
        <w:spacing w:before="0" w:after="0" w:line="288" w:lineRule="auto"/>
        <w:outlineLvl w:val="9"/>
        <w:rPr>
          <w:rFonts w:ascii="宋体" w:hAnsi="宋体" w:cs="宋体"/>
          <w:color w:val="auto"/>
          <w:sz w:val="24"/>
          <w:szCs w:val="24"/>
          <w:highlight w:val="none"/>
        </w:rPr>
      </w:pPr>
      <w:bookmarkStart w:id="61" w:name="_Toc98580414"/>
      <w:r>
        <w:rPr>
          <w:rFonts w:hint="eastAsia" w:ascii="宋体" w:hAnsi="宋体" w:cs="宋体"/>
          <w:color w:val="auto"/>
          <w:sz w:val="24"/>
          <w:szCs w:val="24"/>
          <w:highlight w:val="none"/>
        </w:rPr>
        <w:t>21.投标的澄清</w:t>
      </w:r>
      <w:bookmarkEnd w:id="61"/>
    </w:p>
    <w:p w14:paraId="233450BB">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21.1 </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lang w:val="en-US" w:eastAsia="zh-CN"/>
        </w:rPr>
        <w:t>按评标委员会要求</w:t>
      </w:r>
      <w:r>
        <w:rPr>
          <w:rFonts w:hint="eastAsia" w:ascii="宋体" w:hAnsi="宋体" w:eastAsia="宋体" w:cs="宋体"/>
          <w:color w:val="auto"/>
          <w:sz w:val="24"/>
          <w:szCs w:val="24"/>
          <w:highlight w:val="none"/>
        </w:rPr>
        <w:t>有权就投标文件中含混之处向供应商提出询问或澄清要求，或要求其补充某些材料。供应商必须按照</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通知的时间、地点派技术和商务人员进行答疑和澄清。</w:t>
      </w:r>
    </w:p>
    <w:p w14:paraId="7C59CEBB">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必要时</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可要求供应商就澄清的问题作书面回答，该书面回答应有投标全权代表的签章，并将作为投标内容的一部分。</w:t>
      </w:r>
    </w:p>
    <w:p w14:paraId="362665D5">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供应商对投标文件的澄清不得改变投标价格及实质内容。</w:t>
      </w:r>
    </w:p>
    <w:p w14:paraId="0BCD0CCE">
      <w:pPr>
        <w:spacing w:before="0" w:after="0" w:line="288" w:lineRule="auto"/>
        <w:outlineLvl w:val="9"/>
        <w:rPr>
          <w:rFonts w:ascii="宋体" w:hAnsi="宋体" w:cs="宋体"/>
          <w:color w:val="auto"/>
          <w:sz w:val="24"/>
          <w:szCs w:val="24"/>
          <w:highlight w:val="none"/>
        </w:rPr>
      </w:pPr>
      <w:bookmarkStart w:id="62" w:name="_Toc98580415"/>
      <w:bookmarkStart w:id="63" w:name="_Toc98580416"/>
      <w:r>
        <w:rPr>
          <w:rFonts w:hint="eastAsia" w:ascii="宋体" w:hAnsi="宋体" w:cs="宋体"/>
          <w:color w:val="auto"/>
          <w:sz w:val="24"/>
          <w:szCs w:val="24"/>
          <w:highlight w:val="none"/>
        </w:rPr>
        <w:t>22.评标</w:t>
      </w:r>
      <w:bookmarkEnd w:id="62"/>
    </w:p>
    <w:p w14:paraId="7A22DC09">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原则：对所有供应商的投标评估，都采用相同的程序和标准。</w:t>
      </w:r>
    </w:p>
    <w:p w14:paraId="2F79B199">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标准：评标严格按照招标文件的要求和条件进行。</w:t>
      </w:r>
    </w:p>
    <w:p w14:paraId="639D2880">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本项目采用</w:t>
      </w:r>
      <w:r>
        <w:rPr>
          <w:rFonts w:hint="eastAsia" w:ascii="宋体" w:hAnsi="宋体" w:eastAsia="宋体" w:cs="宋体"/>
          <w:color w:val="auto"/>
          <w:sz w:val="24"/>
          <w:szCs w:val="24"/>
          <w:highlight w:val="none"/>
          <w:lang w:eastAsia="zh-CN"/>
        </w:rPr>
        <w:t>综合评分法</w:t>
      </w:r>
      <w:r>
        <w:rPr>
          <w:rFonts w:hint="eastAsia" w:ascii="宋体" w:hAnsi="宋体" w:eastAsia="宋体" w:cs="宋体"/>
          <w:color w:val="auto"/>
          <w:sz w:val="24"/>
          <w:szCs w:val="24"/>
          <w:highlight w:val="none"/>
        </w:rPr>
        <w:t>评审:</w:t>
      </w:r>
      <w:r>
        <w:rPr>
          <w:rFonts w:hint="eastAsia" w:ascii="宋体" w:hAnsi="宋体" w:eastAsia="宋体" w:cs="宋体"/>
          <w:color w:val="auto"/>
          <w:sz w:val="24"/>
          <w:szCs w:val="24"/>
          <w:highlight w:val="none"/>
          <w:lang w:val="zh-CN"/>
        </w:rPr>
        <w:t xml:space="preserve"> 评标委员会将按下述标准评定预中标人：</w:t>
      </w:r>
      <w:r>
        <w:rPr>
          <w:rFonts w:hint="eastAsia" w:ascii="宋体" w:hAnsi="宋体" w:eastAsia="宋体" w:cs="宋体"/>
          <w:color w:val="auto"/>
          <w:sz w:val="24"/>
          <w:szCs w:val="24"/>
          <w:highlight w:val="none"/>
        </w:rPr>
        <w:t xml:space="preserve">按评审后投标人得分由高到低的顺序排列；得分相同的，按投标报价由低到高顺序排列；得分且投标报价相同的，按技术指标优劣顺序排列。 </w:t>
      </w:r>
      <w:r>
        <w:rPr>
          <w:rFonts w:hint="eastAsia" w:ascii="宋体" w:hAnsi="宋体" w:eastAsia="宋体" w:cs="宋体"/>
          <w:color w:val="auto"/>
          <w:sz w:val="24"/>
          <w:szCs w:val="24"/>
          <w:highlight w:val="none"/>
          <w:lang w:val="zh-CN"/>
        </w:rPr>
        <w:t>本项目不接受任何额外捐赠。评标委员会在评审时，将按下列规定计算价格扣除：</w:t>
      </w:r>
    </w:p>
    <w:p w14:paraId="1C467801">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（1）对于列入财政部、国家环保总局发布的《环境标志产品政府采购清单》的产品，另外给予投标报价得分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%的加分。采购项目或者分包中既包含环境标志产品也包含非环境标志产品的，只对列入清单的产品按其在总报价中所占的比例给予价格分加分。</w:t>
      </w:r>
    </w:p>
    <w:p w14:paraId="1B32A0FF">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（2）对于列入财政部、国家发改委发布的《节能产品政府采购清单》但不属于国家强制采购的产品，另外给予投标报价得分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%的加分。采购项目或者分包中既包含节能产品也包含非节能产品的，只对列入清单但不属于国家强制采购的产品按其在总报价中所占的比例给予价格分加分。</w:t>
      </w:r>
    </w:p>
    <w:p w14:paraId="06A0E3C1">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（3）对于列入财政部、国家发改委、信息产业部发布的《无线局域网认证产品政府采购清单》的产品，另外给予投标报价得分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%的加分。采购项目或者分包中既包含清单中产品也包含非清单中产品的，只对列入清单的产品按其在总报价中所占的比例给予价格分加分。</w:t>
      </w:r>
    </w:p>
    <w:p w14:paraId="4DD68E16">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（4）投标产品同时列入上述多个清单的，将上述规定的价格分加分比例叠加后计算价格分加分。</w:t>
      </w:r>
    </w:p>
    <w:p w14:paraId="202DFF8B">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（5）根据</w:t>
      </w:r>
      <w:r>
        <w:rPr>
          <w:rFonts w:hint="eastAsia" w:ascii="宋体" w:hAnsi="宋体" w:eastAsia="宋体" w:cs="宋体"/>
          <w:color w:val="auto"/>
          <w:sz w:val="24"/>
          <w:szCs w:val="24"/>
          <w:highlight w:val="none"/>
          <w:lang w:val="en-US" w:eastAsia="zh-CN"/>
        </w:rPr>
        <w:t>财政部发布的《政府采购促进中小企业发展管理办法》及关于印发《吉林省强化政府采购政策支持中小企业发展落实举措》的规定，</w:t>
      </w:r>
      <w:r>
        <w:rPr>
          <w:rFonts w:hint="eastAsia" w:ascii="宋体" w:hAnsi="宋体" w:eastAsia="宋体" w:cs="宋体"/>
          <w:color w:val="auto"/>
          <w:sz w:val="24"/>
          <w:szCs w:val="24"/>
          <w:highlight w:val="none"/>
          <w:lang w:val="zh-CN"/>
        </w:rPr>
        <w:t>对小型和微型企业的产品给予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%的价格扣除，并按照扣除后的价格参与评审。</w:t>
      </w:r>
    </w:p>
    <w:p w14:paraId="7777196B">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（6）价格扣除的依据：第（1）至（4）条提供投标货物相关认证证书复印件加盖投标人公章。第（5）条提供中小企业声明函。</w:t>
      </w:r>
    </w:p>
    <w:p w14:paraId="31C0DAE6">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价格分加分依据：投标货物相关认证证书复印件加盖投标人公章。</w:t>
      </w:r>
    </w:p>
    <w:p w14:paraId="309D9FB9">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在评标结果初步评定之后、签署评标决议之前，评标委员会将向投标人宣布拟评定的预中标人，评标委员会</w:t>
      </w:r>
      <w:r>
        <w:rPr>
          <w:rFonts w:hint="eastAsia" w:ascii="宋体" w:hAnsi="宋体" w:eastAsia="宋体" w:cs="宋体"/>
          <w:color w:val="auto"/>
          <w:sz w:val="24"/>
          <w:szCs w:val="24"/>
          <w:highlight w:val="none"/>
        </w:rPr>
        <w:t>将按照上述</w:t>
      </w:r>
      <w:r>
        <w:rPr>
          <w:rFonts w:hint="eastAsia" w:ascii="宋体" w:hAnsi="宋体" w:eastAsia="宋体" w:cs="宋体"/>
          <w:color w:val="auto"/>
          <w:sz w:val="24"/>
          <w:szCs w:val="24"/>
          <w:highlight w:val="none"/>
          <w:lang w:val="en-US" w:eastAsia="zh-CN"/>
        </w:rPr>
        <w:t>规定</w:t>
      </w:r>
      <w:r>
        <w:rPr>
          <w:rFonts w:hint="eastAsia" w:ascii="宋体" w:hAnsi="宋体" w:eastAsia="宋体" w:cs="宋体"/>
          <w:color w:val="auto"/>
          <w:sz w:val="24"/>
          <w:szCs w:val="24"/>
          <w:highlight w:val="none"/>
        </w:rPr>
        <w:t>对供应商排定的顺序，依次对其是否能够满意地履行合同义务进行审查。首先，对排序最先的供应商是否具备履行合同的能力进行审查。如果审查通过，则确定其为中标候选人；如果审查没有通过，则对下一个排序最先的供应商能否满意地履行合同义务作类似的审查。</w:t>
      </w:r>
      <w:r>
        <w:rPr>
          <w:rFonts w:hint="eastAsia" w:ascii="宋体" w:hAnsi="宋体" w:eastAsia="宋体" w:cs="宋体"/>
          <w:color w:val="auto"/>
          <w:sz w:val="24"/>
          <w:szCs w:val="24"/>
          <w:highlight w:val="none"/>
          <w:lang w:val="zh-CN"/>
        </w:rPr>
        <w:t>对于投标人提出的问题，评标委员会将当场评审、答复并最终评定预中标人。（</w:t>
      </w:r>
      <w:r>
        <w:rPr>
          <w:rFonts w:hint="eastAsia" w:ascii="宋体" w:hAnsi="宋体" w:eastAsia="宋体" w:cs="宋体"/>
          <w:color w:val="auto"/>
          <w:sz w:val="24"/>
          <w:szCs w:val="24"/>
          <w:highlight w:val="none"/>
        </w:rPr>
        <w:t>投标人可对</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多个合同包同时</w:t>
      </w:r>
      <w:r>
        <w:rPr>
          <w:rFonts w:hint="eastAsia" w:ascii="宋体" w:hAnsi="宋体" w:eastAsia="宋体" w:cs="宋体"/>
          <w:color w:val="auto"/>
          <w:sz w:val="24"/>
          <w:szCs w:val="24"/>
          <w:highlight w:val="none"/>
        </w:rPr>
        <w:t>进行投标，但不可</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lang w:eastAsia="zh-CN"/>
        </w:rPr>
        <w:t>多个合同包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评标顺序按照合同包顺序从前至后依次评审，</w:t>
      </w:r>
      <w:r>
        <w:rPr>
          <w:rFonts w:hint="eastAsia" w:ascii="宋体" w:hAnsi="宋体" w:eastAsia="宋体" w:cs="宋体"/>
          <w:color w:val="auto"/>
          <w:sz w:val="24"/>
          <w:szCs w:val="24"/>
          <w:highlight w:val="none"/>
          <w:lang w:val="en-US" w:eastAsia="zh-CN"/>
        </w:rPr>
        <w:t>供应商已确定中标合同包后，在后续其他合同包不具备中标资格。）</w:t>
      </w:r>
      <w:r>
        <w:rPr>
          <w:rFonts w:hint="eastAsia" w:ascii="宋体" w:hAnsi="宋体" w:eastAsia="宋体" w:cs="宋体"/>
          <w:color w:val="auto"/>
          <w:sz w:val="24"/>
          <w:szCs w:val="24"/>
          <w:highlight w:val="none"/>
          <w:lang w:val="zh-CN"/>
        </w:rPr>
        <w:t>预中标结果将在相关媒体上公示一个工作日，如果没有异议，预中标人确定为中标人。如果投标人对预中标结果有异议，应当在</w:t>
      </w:r>
      <w:r>
        <w:rPr>
          <w:rFonts w:hint="eastAsia" w:ascii="宋体" w:hAnsi="宋体" w:eastAsia="宋体" w:cs="宋体"/>
          <w:color w:val="auto"/>
          <w:sz w:val="24"/>
          <w:szCs w:val="24"/>
          <w:highlight w:val="none"/>
          <w:lang w:val="en-US" w:eastAsia="zh-CN"/>
        </w:rPr>
        <w:t>法定期限</w:t>
      </w:r>
      <w:r>
        <w:rPr>
          <w:rFonts w:hint="eastAsia" w:ascii="宋体" w:hAnsi="宋体" w:eastAsia="宋体" w:cs="宋体"/>
          <w:color w:val="auto"/>
          <w:sz w:val="24"/>
          <w:szCs w:val="24"/>
          <w:highlight w:val="none"/>
          <w:lang w:val="zh-CN"/>
        </w:rPr>
        <w:t>内以</w:t>
      </w:r>
      <w:r>
        <w:rPr>
          <w:rFonts w:hint="eastAsia" w:ascii="宋体" w:hAnsi="宋体" w:eastAsia="宋体" w:cs="宋体"/>
          <w:color w:val="auto"/>
          <w:sz w:val="24"/>
          <w:szCs w:val="24"/>
          <w:highlight w:val="none"/>
          <w:lang w:val="en-US" w:eastAsia="zh-CN"/>
        </w:rPr>
        <w:t>书面</w:t>
      </w:r>
      <w:r>
        <w:rPr>
          <w:rFonts w:hint="eastAsia" w:ascii="宋体" w:hAnsi="宋体" w:eastAsia="宋体" w:cs="宋体"/>
          <w:color w:val="auto"/>
          <w:sz w:val="24"/>
          <w:szCs w:val="24"/>
          <w:highlight w:val="none"/>
          <w:lang w:val="zh-CN"/>
        </w:rPr>
        <w:t>形式向招标机构提出质疑。投标人的质疑事项应当具体、明确并提供事实依据，</w:t>
      </w:r>
      <w:r>
        <w:rPr>
          <w:rFonts w:hint="eastAsia" w:ascii="宋体" w:hAnsi="宋体" w:eastAsia="宋体" w:cs="宋体"/>
          <w:color w:val="auto"/>
          <w:sz w:val="24"/>
          <w:szCs w:val="24"/>
          <w:highlight w:val="none"/>
          <w:lang w:val="en-US" w:eastAsia="zh-CN"/>
        </w:rPr>
        <w:t>投标人对本项目同一环节应一次性提出质疑问题</w:t>
      </w:r>
      <w:r>
        <w:rPr>
          <w:rFonts w:hint="eastAsia" w:ascii="宋体" w:hAnsi="宋体" w:eastAsia="宋体" w:cs="宋体"/>
          <w:color w:val="auto"/>
          <w:sz w:val="24"/>
          <w:szCs w:val="24"/>
          <w:highlight w:val="none"/>
          <w:lang w:val="zh-CN"/>
        </w:rPr>
        <w:t>。</w:t>
      </w:r>
    </w:p>
    <w:p w14:paraId="37D7372D">
      <w:pPr>
        <w:spacing w:before="0" w:after="0" w:line="288"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23.评标过程保密</w:t>
      </w:r>
      <w:bookmarkEnd w:id="63"/>
    </w:p>
    <w:p w14:paraId="54253364">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eastAsia="宋体" w:cs="宋体"/>
          <w:color w:val="auto"/>
          <w:sz w:val="24"/>
          <w:szCs w:val="24"/>
          <w:highlight w:val="none"/>
        </w:rPr>
        <w:t>3.1有关投标文件的审查、澄清、评估和比较以及有关授予合同意向的一切情况均不得透露给任一供应商或与上述评标工作无关的人员；</w:t>
      </w:r>
    </w:p>
    <w:p w14:paraId="21E2F3B9">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23.2在评标期间，供应商企图影响招标方的任何活动，将导致投标被拒绝，并承担相应的法律责任。</w:t>
      </w:r>
    </w:p>
    <w:p w14:paraId="32A4C9E1">
      <w:pPr>
        <w:spacing w:line="288" w:lineRule="auto"/>
        <w:jc w:val="center"/>
        <w:outlineLvl w:val="2"/>
        <w:rPr>
          <w:rFonts w:ascii="宋体" w:hAnsi="宋体" w:cs="宋体"/>
          <w:b/>
          <w:color w:val="auto"/>
          <w:sz w:val="24"/>
          <w:szCs w:val="24"/>
          <w:highlight w:val="none"/>
        </w:rPr>
      </w:pPr>
      <w:r>
        <w:rPr>
          <w:rFonts w:hint="eastAsia" w:ascii="宋体" w:hAnsi="宋体" w:cs="宋体"/>
          <w:b/>
          <w:color w:val="auto"/>
          <w:sz w:val="24"/>
          <w:szCs w:val="24"/>
          <w:highlight w:val="none"/>
        </w:rPr>
        <w:t>F 确定中标</w:t>
      </w:r>
    </w:p>
    <w:p w14:paraId="038FE7AF">
      <w:pPr>
        <w:spacing w:before="0" w:after="0" w:line="288" w:lineRule="auto"/>
        <w:outlineLvl w:val="9"/>
        <w:rPr>
          <w:rFonts w:ascii="宋体" w:hAnsi="宋体" w:cs="宋体"/>
          <w:color w:val="auto"/>
          <w:sz w:val="24"/>
          <w:szCs w:val="24"/>
          <w:highlight w:val="none"/>
        </w:rPr>
      </w:pPr>
      <w:bookmarkStart w:id="64" w:name="_Toc98580417"/>
      <w:r>
        <w:rPr>
          <w:rFonts w:hint="eastAsia" w:ascii="宋体" w:hAnsi="宋体" w:cs="宋体"/>
          <w:color w:val="auto"/>
          <w:sz w:val="24"/>
          <w:szCs w:val="24"/>
          <w:highlight w:val="none"/>
        </w:rPr>
        <w:t>24.最终审查</w:t>
      </w:r>
      <w:bookmarkEnd w:id="64"/>
    </w:p>
    <w:p w14:paraId="0C45D56D">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24.1评标委员会按照招标文件确定的评标标准和方法，对投标文件进行评审，并提出书面评标报告，确定中标人。最终审查的对象是招标项目的合格的供应商。 </w:t>
      </w:r>
    </w:p>
    <w:p w14:paraId="7F02542C">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24.2 最终审查的内容是对合格的供应商的产品进行产品性能、技术状况、生产条件、产品质量、财务状况、资格、信誉以及采购人认为有必要了解的其他问题作进一步的审查。  </w:t>
      </w:r>
    </w:p>
    <w:p w14:paraId="468F2D5F">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 接受最终审查的合格的供应商，必须如实回答和受理采购人的询问或</w:t>
      </w:r>
      <w:r>
        <w:rPr>
          <w:rFonts w:hint="eastAsia" w:ascii="宋体" w:hAnsi="宋体" w:cs="宋体"/>
          <w:color w:val="auto"/>
          <w:sz w:val="24"/>
          <w:szCs w:val="24"/>
          <w:highlight w:val="none"/>
          <w:lang w:val="en-US" w:eastAsia="zh-CN"/>
        </w:rPr>
        <w:t>考察</w:t>
      </w:r>
      <w:r>
        <w:rPr>
          <w:rFonts w:hint="eastAsia" w:ascii="宋体" w:hAnsi="宋体" w:eastAsia="宋体" w:cs="宋体"/>
          <w:color w:val="auto"/>
          <w:sz w:val="24"/>
          <w:szCs w:val="24"/>
          <w:highlight w:val="none"/>
        </w:rPr>
        <w:t>，并提供所需的有关资料。</w:t>
      </w:r>
    </w:p>
    <w:p w14:paraId="400426D0">
      <w:pPr>
        <w:spacing w:before="0" w:after="0" w:line="288" w:lineRule="auto"/>
        <w:outlineLvl w:val="9"/>
        <w:rPr>
          <w:rFonts w:ascii="宋体" w:hAnsi="宋体" w:cs="宋体"/>
          <w:color w:val="auto"/>
          <w:sz w:val="24"/>
          <w:szCs w:val="24"/>
          <w:highlight w:val="none"/>
        </w:rPr>
      </w:pPr>
      <w:bookmarkStart w:id="65" w:name="_Toc98580418"/>
      <w:r>
        <w:rPr>
          <w:rFonts w:hint="eastAsia" w:ascii="宋体" w:hAnsi="宋体" w:cs="宋体"/>
          <w:color w:val="auto"/>
          <w:sz w:val="24"/>
          <w:szCs w:val="24"/>
          <w:highlight w:val="none"/>
        </w:rPr>
        <w:t>25.中标通知</w:t>
      </w:r>
      <w:bookmarkEnd w:id="65"/>
    </w:p>
    <w:p w14:paraId="0DBAD0D2">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25.1在投标有效期内，采购机构以书面形式通知所选定的中标人。通知也可以以传真的形式发出，最终以书面形式确认。</w:t>
      </w:r>
    </w:p>
    <w:p w14:paraId="2A683C57">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25.2当中标人按第26条规定与买方</w:t>
      </w:r>
      <w:r>
        <w:rPr>
          <w:rFonts w:hint="eastAsia" w:ascii="宋体" w:hAnsi="宋体" w:cs="宋体"/>
          <w:color w:val="auto"/>
          <w:sz w:val="24"/>
          <w:szCs w:val="24"/>
          <w:highlight w:val="none"/>
          <w:lang w:val="en-US" w:eastAsia="zh-CN"/>
        </w:rPr>
        <w:t>签订</w:t>
      </w:r>
      <w:r>
        <w:rPr>
          <w:rFonts w:hint="eastAsia" w:ascii="宋体" w:hAnsi="宋体" w:eastAsia="宋体" w:cs="宋体"/>
          <w:color w:val="auto"/>
          <w:sz w:val="24"/>
          <w:szCs w:val="24"/>
          <w:highlight w:val="none"/>
        </w:rPr>
        <w:t>合同后，采购人将向其他供应商发出招标结果通知，并在5个工作日内退还投标保证金。采购人对未中标的供应商不作落标原因的解释。</w:t>
      </w:r>
    </w:p>
    <w:p w14:paraId="26A4FA20">
      <w:pPr>
        <w:pStyle w:val="5"/>
        <w:spacing w:line="288" w:lineRule="auto"/>
        <w:ind w:firstLine="0"/>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26.</w:t>
      </w:r>
      <w:r>
        <w:rPr>
          <w:rFonts w:hint="eastAsia" w:ascii="宋体" w:hAnsi="宋体" w:cs="宋体"/>
          <w:b w:val="0"/>
          <w:bCs/>
          <w:color w:val="auto"/>
          <w:sz w:val="24"/>
          <w:szCs w:val="24"/>
          <w:highlight w:val="none"/>
          <w:lang w:val="en-US" w:eastAsia="zh-CN"/>
        </w:rPr>
        <w:t>签订</w:t>
      </w:r>
      <w:r>
        <w:rPr>
          <w:rFonts w:hint="eastAsia" w:ascii="宋体" w:hAnsi="宋体" w:cs="宋体"/>
          <w:b w:val="0"/>
          <w:bCs/>
          <w:color w:val="auto"/>
          <w:sz w:val="24"/>
          <w:szCs w:val="24"/>
          <w:highlight w:val="none"/>
        </w:rPr>
        <w:t>合同</w:t>
      </w:r>
    </w:p>
    <w:p w14:paraId="6B2A4EAD">
      <w:pPr>
        <w:pStyle w:val="5"/>
        <w:spacing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中标人应按中标通知书中规定的时间、地点与买方</w:t>
      </w:r>
      <w:r>
        <w:rPr>
          <w:rFonts w:hint="eastAsia" w:ascii="宋体" w:hAnsi="宋体" w:cs="宋体"/>
          <w:color w:val="auto"/>
          <w:sz w:val="24"/>
          <w:szCs w:val="24"/>
          <w:highlight w:val="none"/>
          <w:lang w:val="en-US" w:eastAsia="zh-CN"/>
        </w:rPr>
        <w:t>签订</w:t>
      </w:r>
      <w:r>
        <w:rPr>
          <w:rFonts w:hint="eastAsia" w:ascii="宋体" w:hAnsi="宋体" w:cs="宋体"/>
          <w:color w:val="auto"/>
          <w:sz w:val="24"/>
          <w:szCs w:val="24"/>
          <w:highlight w:val="none"/>
        </w:rPr>
        <w:t>合同，否则按开标后撤回投标处理。</w:t>
      </w:r>
    </w:p>
    <w:p w14:paraId="0A896A1D">
      <w:pPr>
        <w:pStyle w:val="5"/>
        <w:spacing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供货合同采用工商管理部门制定的标准格式合同。招标文件、中标人的投标文件及评标过程中有关澄清文件均应作为合同组成部分。</w:t>
      </w:r>
    </w:p>
    <w:p w14:paraId="6583430C">
      <w:pPr>
        <w:spacing w:line="288" w:lineRule="auto"/>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27.数量变更</w:t>
      </w:r>
    </w:p>
    <w:p w14:paraId="76E77129">
      <w:pPr>
        <w:spacing w:line="288" w:lineRule="auto"/>
        <w:ind w:firstLine="480" w:firstLineChars="200"/>
        <w:rPr>
          <w:color w:val="auto"/>
          <w:highlight w:val="none"/>
        </w:rPr>
      </w:pPr>
      <w:r>
        <w:rPr>
          <w:rFonts w:hint="eastAsia" w:ascii="宋体" w:hAnsi="宋体" w:cs="宋体"/>
          <w:color w:val="auto"/>
          <w:sz w:val="24"/>
          <w:szCs w:val="24"/>
          <w:highlight w:val="none"/>
        </w:rPr>
        <w:t>采购人有权根据项目实际需要部分变更数量和服务的内容</w:t>
      </w:r>
    </w:p>
    <w:p w14:paraId="00AA6E69">
      <w:pPr>
        <w:spacing w:line="288" w:lineRule="auto"/>
        <w:rPr>
          <w:rFonts w:hint="eastAsia" w:ascii="宋体" w:hAnsi="宋体" w:eastAsia="宋体" w:cs="宋体"/>
          <w:b w:val="0"/>
          <w:bCs/>
          <w:color w:val="auto"/>
          <w:sz w:val="24"/>
          <w:szCs w:val="24"/>
          <w:highlight w:val="none"/>
          <w:lang w:val="zh-CN"/>
        </w:rPr>
      </w:pPr>
      <w:bookmarkStart w:id="66" w:name="_Toc98580422"/>
      <w:bookmarkStart w:id="67" w:name="_Toc24696155"/>
      <w:r>
        <w:rPr>
          <w:rFonts w:hint="eastAsia" w:ascii="宋体" w:hAnsi="宋体" w:eastAsia="宋体" w:cs="宋体"/>
          <w:b w:val="0"/>
          <w:bCs/>
          <w:color w:val="auto"/>
          <w:sz w:val="24"/>
          <w:szCs w:val="24"/>
          <w:highlight w:val="none"/>
          <w:lang w:val="zh-CN"/>
        </w:rPr>
        <w:t>2</w:t>
      </w: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val="zh-CN"/>
        </w:rPr>
        <w:t>.保密和披露</w:t>
      </w:r>
    </w:p>
    <w:p w14:paraId="4A3A8D58">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.1采购人有权将投标人提供的所有资料向其他政府部门或有关的非政府机构负责评审标书的人员或与评标有关的人员披露。</w:t>
      </w:r>
    </w:p>
    <w:p w14:paraId="1BAAF451">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2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2958EB2F">
      <w:pPr>
        <w:spacing w:line="288" w:lineRule="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en-US" w:eastAsia="zh-CN"/>
        </w:rPr>
        <w:t>29</w:t>
      </w:r>
      <w:r>
        <w:rPr>
          <w:rFonts w:hint="eastAsia" w:ascii="宋体" w:hAnsi="宋体" w:eastAsia="宋体" w:cs="宋体"/>
          <w:b w:val="0"/>
          <w:bCs/>
          <w:color w:val="auto"/>
          <w:sz w:val="24"/>
          <w:szCs w:val="24"/>
          <w:highlight w:val="none"/>
          <w:lang w:val="zh-CN"/>
        </w:rPr>
        <w:t>、质疑和投诉</w:t>
      </w:r>
    </w:p>
    <w:p w14:paraId="2F27C5EB">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lang w:val="zh-CN"/>
        </w:rPr>
        <w:t>.1投标人认为招标文件、招标过程和中标结果使自己的合法权益受到损害的，应当在知道或者应知其权益受到损害之日起七个工作日内，向招标方提出质疑。投标人对采购人的质疑答复不满意或者采购人未在规定时间内作出答复的，可以在答复期满后十五个工作日内向同级采购监管部门投诉。</w:t>
      </w:r>
    </w:p>
    <w:p w14:paraId="1222F257">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lang w:val="zh-CN"/>
        </w:rPr>
        <w:t>.2质疑书、投诉书均应明确阐述招标文件、招标过程和中标结果中使自己合法权益受到损害的实质性内容，提供相关事实、依据和证据及其来源或线索，便于有关单位调查、答复和处理。</w:t>
      </w:r>
    </w:p>
    <w:p w14:paraId="7F45B7C7">
      <w:pPr>
        <w:spacing w:line="288" w:lineRule="auto"/>
        <w:ind w:firstLine="480" w:firstLineChars="200"/>
        <w:jc w:val="both"/>
        <w:rPr>
          <w:rFonts w:hint="eastAsia" w:ascii="宋体" w:hAnsi="宋体" w:eastAsia="宋体" w:cs="宋体"/>
          <w:color w:val="auto"/>
          <w:sz w:val="24"/>
          <w:szCs w:val="24"/>
          <w:highlight w:val="none"/>
          <w:lang w:val="zh-CN"/>
        </w:rPr>
      </w:pPr>
    </w:p>
    <w:p w14:paraId="2A75CCE8">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br w:type="page"/>
      </w:r>
    </w:p>
    <w:p w14:paraId="6F9DD9F4">
      <w:pPr>
        <w:pStyle w:val="2"/>
        <w:spacing w:before="0" w:after="0" w:line="360" w:lineRule="auto"/>
        <w:jc w:val="center"/>
        <w:outlineLvl w:val="0"/>
        <w:rPr>
          <w:rFonts w:ascii="宋体" w:hAnsi="宋体" w:cs="宋体"/>
          <w:color w:val="auto"/>
          <w:sz w:val="36"/>
          <w:szCs w:val="36"/>
          <w:highlight w:val="none"/>
        </w:rPr>
      </w:pPr>
      <w:bookmarkStart w:id="68" w:name="_Toc32763"/>
      <w:r>
        <w:rPr>
          <w:rFonts w:hint="eastAsia" w:ascii="宋体" w:hAnsi="宋体" w:cs="宋体"/>
          <w:color w:val="auto"/>
          <w:sz w:val="36"/>
          <w:szCs w:val="36"/>
          <w:highlight w:val="none"/>
        </w:rPr>
        <w:t>第三部分  评标办法</w:t>
      </w:r>
      <w:bookmarkEnd w:id="68"/>
    </w:p>
    <w:p w14:paraId="1227A753">
      <w:pPr>
        <w:rPr>
          <w:rFonts w:hint="eastAsia" w:ascii="宋体" w:hAnsi="宋体" w:eastAsia="宋体" w:cs="宋体"/>
          <w:bCs/>
          <w:color w:val="auto"/>
          <w:sz w:val="24"/>
          <w:szCs w:val="24"/>
          <w:highlight w:val="none"/>
        </w:rPr>
      </w:pPr>
    </w:p>
    <w:p w14:paraId="6588E9E3">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附：评标标准及主要原则方法</w:t>
      </w:r>
    </w:p>
    <w:p w14:paraId="071FD378">
      <w:pPr>
        <w:spacing w:line="46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按照《中华人民共和国政府采购法》和《政府采购货物和服务招标投标管理办法》及国家有关部委联合制定的《评标委员会和评标方法暂行规定》的有关规定，遵循公开、公平、公正和诚实信用的原则，结合本项目的实际情况，制定</w:t>
      </w:r>
      <w:r>
        <w:rPr>
          <w:rFonts w:hint="eastAsia" w:ascii="宋体" w:hAnsi="宋体"/>
          <w:color w:val="auto"/>
          <w:sz w:val="24"/>
          <w:szCs w:val="24"/>
          <w:highlight w:val="none"/>
          <w:u w:val="single"/>
        </w:rPr>
        <w:t>吉林艺术学院繁荣校区食堂厨房和餐厅设备项目</w:t>
      </w:r>
      <w:r>
        <w:rPr>
          <w:rFonts w:hint="eastAsia" w:ascii="宋体" w:hAnsi="宋体" w:eastAsia="宋体" w:cs="宋体"/>
          <w:color w:val="auto"/>
          <w:sz w:val="24"/>
          <w:szCs w:val="24"/>
          <w:highlight w:val="none"/>
        </w:rPr>
        <w:t>招标评标办法。</w:t>
      </w:r>
    </w:p>
    <w:p w14:paraId="1542F399">
      <w:pPr>
        <w:spacing w:line="440" w:lineRule="exact"/>
        <w:ind w:firstLine="480" w:firstLineChars="200"/>
        <w:rPr>
          <w:rFonts w:ascii="宋体" w:hAnsi="宋体" w:cs="宋体"/>
          <w:color w:val="auto"/>
          <w:sz w:val="24"/>
          <w:szCs w:val="24"/>
          <w:highlight w:val="none"/>
        </w:rPr>
      </w:pPr>
    </w:p>
    <w:p w14:paraId="04F1B10E">
      <w:pPr>
        <w:spacing w:line="440" w:lineRule="exact"/>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一、评标程序</w:t>
      </w:r>
    </w:p>
    <w:p w14:paraId="5B124629">
      <w:pPr>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（一）组成评标委员会</w:t>
      </w:r>
    </w:p>
    <w:p w14:paraId="5F625750">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国家有关部委及省、市的相关规定，从专家库中随机抽取技术、经济等方面的专家4人，采购人代表1人，共5人组成评标委员会（以下简称“评委会”）。为保证评标工作的顺利进行，推荐一名评委担任评委会主任，负责评标全面工作。</w:t>
      </w:r>
    </w:p>
    <w:p w14:paraId="6650CD64">
      <w:pPr>
        <w:pStyle w:val="90"/>
        <w:spacing w:line="440" w:lineRule="exac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（二）评审方法：</w:t>
      </w:r>
      <w:r>
        <w:rPr>
          <w:rFonts w:hint="eastAsia" w:ascii="宋体" w:hAnsi="宋体" w:eastAsia="宋体" w:cs="宋体"/>
          <w:b/>
          <w:bCs/>
          <w:color w:val="auto"/>
          <w:sz w:val="24"/>
          <w:szCs w:val="24"/>
          <w:highlight w:val="none"/>
          <w:lang w:val="en-US" w:eastAsia="zh-CN"/>
        </w:rPr>
        <w:t>综合评分</w:t>
      </w:r>
      <w:r>
        <w:rPr>
          <w:rFonts w:hint="eastAsia" w:ascii="宋体" w:hAnsi="宋体" w:eastAsia="宋体" w:cs="宋体"/>
          <w:b/>
          <w:bCs/>
          <w:color w:val="auto"/>
          <w:sz w:val="24"/>
          <w:szCs w:val="24"/>
          <w:highlight w:val="none"/>
          <w:lang w:val="zh-CN"/>
        </w:rPr>
        <w:t>法</w:t>
      </w:r>
    </w:p>
    <w:p w14:paraId="297A2CA1">
      <w:pPr>
        <w:spacing w:line="4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评标工作应本着客观公正、公平竞争、择优推荐、规范合法的原则进行。本次评标采用</w:t>
      </w:r>
      <w:r>
        <w:rPr>
          <w:rFonts w:hint="eastAsia" w:ascii="宋体" w:hAnsi="宋体" w:eastAsia="宋体" w:cs="宋体"/>
          <w:color w:val="auto"/>
          <w:sz w:val="24"/>
          <w:szCs w:val="24"/>
          <w:highlight w:val="none"/>
          <w:lang w:eastAsia="zh-CN"/>
        </w:rPr>
        <w:t>综合评分法</w:t>
      </w:r>
      <w:r>
        <w:rPr>
          <w:rFonts w:hint="eastAsia" w:ascii="宋体" w:hAnsi="宋体" w:eastAsia="宋体" w:cs="宋体"/>
          <w:color w:val="auto"/>
          <w:sz w:val="24"/>
          <w:szCs w:val="24"/>
          <w:highlight w:val="none"/>
        </w:rPr>
        <w:t>，评标工作分初步评审和详细评审，</w:t>
      </w:r>
      <w:r>
        <w:rPr>
          <w:rFonts w:hint="eastAsia" w:ascii="宋体" w:hAnsi="宋体" w:eastAsia="宋体" w:cs="宋体"/>
          <w:color w:val="auto"/>
          <w:sz w:val="21"/>
          <w:szCs w:val="21"/>
          <w:highlight w:val="none"/>
        </w:rPr>
        <w:t>初</w:t>
      </w:r>
      <w:r>
        <w:rPr>
          <w:rFonts w:hint="eastAsia" w:ascii="宋体" w:hAnsi="宋体" w:eastAsia="宋体" w:cs="宋体"/>
          <w:color w:val="auto"/>
          <w:sz w:val="24"/>
          <w:szCs w:val="24"/>
          <w:highlight w:val="none"/>
        </w:rPr>
        <w:t>步评审不合格的投标单位不进入详细评审。</w:t>
      </w:r>
      <w:r>
        <w:rPr>
          <w:rFonts w:hint="eastAsia" w:ascii="宋体" w:hAnsi="宋体" w:eastAsia="宋体" w:cs="宋体"/>
          <w:color w:val="auto"/>
          <w:sz w:val="24"/>
          <w:szCs w:val="24"/>
          <w:highlight w:val="none"/>
          <w:lang w:val="en-US" w:eastAsia="zh-CN"/>
        </w:rPr>
        <w:t xml:space="preserve"> 由评标委员会</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每合同包</w:t>
      </w:r>
      <w:r>
        <w:rPr>
          <w:rFonts w:hint="eastAsia" w:ascii="宋体" w:hAnsi="宋体" w:eastAsia="宋体" w:cs="宋体"/>
          <w:color w:val="auto"/>
          <w:sz w:val="24"/>
          <w:szCs w:val="24"/>
          <w:highlight w:val="none"/>
        </w:rPr>
        <w:t>最终得分由高到低的顺序推荐预中标候选人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名。</w:t>
      </w:r>
    </w:p>
    <w:p w14:paraId="28BDFD63">
      <w:pPr>
        <w:pStyle w:val="90"/>
        <w:spacing w:line="440" w:lineRule="exac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（三）评标工作</w:t>
      </w:r>
    </w:p>
    <w:p w14:paraId="709AED75">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评标本着客观公正、公平竞争、择优推荐、规范合法的原则进行。</w:t>
      </w:r>
    </w:p>
    <w:p w14:paraId="769736A8">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1.资格审查。采购人或代理机构对各供应商的资格进行审查。资格审查合格的供应商方可进入符合性审查。</w:t>
      </w:r>
      <w:r>
        <w:rPr>
          <w:rFonts w:hint="eastAsia" w:ascii="宋体" w:hAnsi="宋体" w:cs="宋体"/>
          <w:color w:val="auto"/>
          <w:sz w:val="24"/>
          <w:highlight w:val="none"/>
        </w:rPr>
        <w:t>不具备招标文件中规定的资格要求的，投标无效。合格供应商不足3家的，不得评标。</w:t>
      </w:r>
    </w:p>
    <w:p w14:paraId="490EF67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2.符合性审查。评委会对供应商的投标文件进行符合性审查。</w:t>
      </w:r>
      <w:r>
        <w:rPr>
          <w:rFonts w:hint="eastAsia" w:ascii="宋体" w:hAnsi="宋体" w:cs="宋体"/>
          <w:color w:val="auto"/>
          <w:sz w:val="24"/>
          <w:highlight w:val="none"/>
        </w:rPr>
        <w:t>有一项不符合的，投标无效。</w:t>
      </w:r>
    </w:p>
    <w:p w14:paraId="6B5F6635">
      <w:pPr>
        <w:tabs>
          <w:tab w:val="left" w:pos="1260"/>
        </w:tabs>
        <w:autoSpaceDE w:val="0"/>
        <w:autoSpaceDN w:val="0"/>
        <w:adjustRightInd w:val="0"/>
        <w:spacing w:line="440" w:lineRule="exact"/>
        <w:ind w:firstLine="480" w:firstLineChars="200"/>
        <w:rPr>
          <w:color w:val="auto"/>
          <w:highlight w:val="none"/>
        </w:rPr>
      </w:pPr>
      <w:r>
        <w:rPr>
          <w:rFonts w:hint="eastAsia" w:ascii="宋体" w:hAnsi="宋体" w:cs="宋体"/>
          <w:color w:val="auto"/>
          <w:sz w:val="24"/>
          <w:szCs w:val="22"/>
          <w:highlight w:val="none"/>
          <w:lang w:val="en-US" w:eastAsia="zh-CN"/>
        </w:rPr>
        <w:t>3.</w:t>
      </w:r>
      <w:r>
        <w:rPr>
          <w:rFonts w:hint="eastAsia" w:ascii="宋体" w:hAnsi="宋体" w:cs="宋体"/>
          <w:color w:val="auto"/>
          <w:sz w:val="24"/>
          <w:szCs w:val="22"/>
          <w:highlight w:val="none"/>
          <w:lang w:val="zh-CN"/>
        </w:rPr>
        <w:t>详细评审。评委采用综合</w:t>
      </w:r>
      <w:r>
        <w:rPr>
          <w:rFonts w:hint="eastAsia" w:ascii="宋体" w:hAnsi="宋体" w:cs="宋体"/>
          <w:color w:val="auto"/>
          <w:sz w:val="24"/>
          <w:szCs w:val="22"/>
          <w:highlight w:val="none"/>
        </w:rPr>
        <w:t>评</w:t>
      </w:r>
      <w:r>
        <w:rPr>
          <w:rFonts w:hint="eastAsia" w:ascii="宋体" w:hAnsi="宋体" w:cs="宋体"/>
          <w:color w:val="auto"/>
          <w:sz w:val="24"/>
          <w:szCs w:val="22"/>
          <w:highlight w:val="none"/>
          <w:lang w:val="zh-CN"/>
        </w:rPr>
        <w:t>分法对投标人的投标文件进行综合打分。并向采购人推荐综合得分排名</w:t>
      </w:r>
      <w:r>
        <w:rPr>
          <w:rFonts w:hint="eastAsia" w:ascii="宋体" w:hAnsi="宋体" w:cs="宋体"/>
          <w:color w:val="auto"/>
          <w:sz w:val="24"/>
          <w:szCs w:val="22"/>
          <w:highlight w:val="none"/>
          <w:lang w:val="en-US" w:eastAsia="zh-CN"/>
        </w:rPr>
        <w:t>前三</w:t>
      </w:r>
      <w:r>
        <w:rPr>
          <w:rFonts w:hint="eastAsia" w:ascii="宋体" w:hAnsi="宋体" w:cs="宋体"/>
          <w:color w:val="auto"/>
          <w:sz w:val="24"/>
          <w:szCs w:val="22"/>
          <w:highlight w:val="none"/>
          <w:lang w:val="zh-CN"/>
        </w:rPr>
        <w:t>的投标人为中标</w:t>
      </w:r>
      <w:r>
        <w:rPr>
          <w:rFonts w:hint="eastAsia" w:ascii="宋体" w:hAnsi="宋体" w:cs="宋体"/>
          <w:color w:val="auto"/>
          <w:sz w:val="24"/>
          <w:szCs w:val="22"/>
          <w:highlight w:val="none"/>
          <w:lang w:val="en-US" w:eastAsia="zh-CN"/>
        </w:rPr>
        <w:t>候选</w:t>
      </w:r>
      <w:r>
        <w:rPr>
          <w:rFonts w:hint="eastAsia" w:ascii="宋体" w:hAnsi="宋体" w:cs="宋体"/>
          <w:color w:val="auto"/>
          <w:sz w:val="24"/>
          <w:szCs w:val="22"/>
          <w:highlight w:val="none"/>
          <w:lang w:val="zh-CN"/>
        </w:rPr>
        <w:t>人。</w:t>
      </w:r>
      <w:r>
        <w:rPr>
          <w:rFonts w:hint="eastAsia" w:ascii="宋体" w:hAnsi="宋体" w:cs="宋体"/>
          <w:color w:val="auto"/>
          <w:sz w:val="24"/>
          <w:szCs w:val="22"/>
          <w:highlight w:val="none"/>
          <w:lang w:val="en-US" w:eastAsia="zh-CN"/>
        </w:rPr>
        <w:t>再按招标文件要求推荐中标人。</w:t>
      </w:r>
    </w:p>
    <w:p w14:paraId="74BCE2B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bCs/>
          <w:color w:val="auto"/>
          <w:sz w:val="24"/>
          <w:highlight w:val="none"/>
        </w:rPr>
        <w:t>政府采购应当采购本国货物。按照财政部《政府采购进口产品管理办法》规定确需采购进口产品的，实行审核管理。经审核允许采购进口产品的，不得排斥符合要求的本国产品。在</w:t>
      </w:r>
      <w:r>
        <w:rPr>
          <w:rFonts w:hint="eastAsia" w:ascii="宋体" w:hAnsi="宋体" w:cs="宋体"/>
          <w:color w:val="auto"/>
          <w:sz w:val="24"/>
          <w:highlight w:val="none"/>
        </w:rPr>
        <w:t>招标文件</w:t>
      </w:r>
      <w:r>
        <w:rPr>
          <w:rFonts w:hint="eastAsia" w:ascii="宋体" w:hAnsi="宋体" w:cs="宋体"/>
          <w:bCs/>
          <w:color w:val="auto"/>
          <w:sz w:val="24"/>
          <w:highlight w:val="none"/>
        </w:rPr>
        <w:t>中未标明采购进口产品的，均为采购本国产品。供应商必须投标本国产品，投标进口产品的，投标无效。进口产品是指通过中国海关报关验放进入中国境内且产自关境外的产品。</w:t>
      </w:r>
    </w:p>
    <w:p w14:paraId="4FCF6286">
      <w:pPr>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（四）询标（必要时）</w:t>
      </w:r>
    </w:p>
    <w:p w14:paraId="6AF5D4E1">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评标委员会对投标文件需要澄清的问题，采用集体询标方式进行。</w:t>
      </w:r>
    </w:p>
    <w:p w14:paraId="7F52B8EC">
      <w:pPr>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（五）推荐中标候选人</w:t>
      </w:r>
    </w:p>
    <w:p w14:paraId="7F4F19E3">
      <w:pPr>
        <w:spacing w:line="4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5.1</w:t>
      </w:r>
      <w:r>
        <w:rPr>
          <w:rFonts w:hint="eastAsia" w:ascii="宋体" w:hAnsi="宋体" w:cs="宋体"/>
          <w:color w:val="auto"/>
          <w:sz w:val="24"/>
          <w:highlight w:val="none"/>
          <w:lang w:val="zh-CN"/>
        </w:rPr>
        <w:t>评标委员会将按下述标准评定中标人：</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每合同包</w:t>
      </w:r>
      <w:r>
        <w:rPr>
          <w:rFonts w:hint="eastAsia" w:ascii="宋体" w:hAnsi="宋体" w:eastAsia="宋体" w:cs="宋体"/>
          <w:color w:val="auto"/>
          <w:sz w:val="24"/>
          <w:szCs w:val="24"/>
          <w:highlight w:val="none"/>
        </w:rPr>
        <w:t>最终得分由高到低的顺序推荐预中标候选人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名。得分相同的，按投标报价由低到高顺序排列。得分且投标报价相同的并列。投标文件满足招标文件全部实质性要求，且按照评审因素的量化指标评审得分最高的投标人为排名第一的中标候选人。</w:t>
      </w:r>
    </w:p>
    <w:p w14:paraId="714FA9A9">
      <w:pPr>
        <w:spacing w:line="440" w:lineRule="exact"/>
        <w:ind w:firstLine="480" w:firstLineChars="200"/>
        <w:rPr>
          <w:rFonts w:ascii="宋体" w:hAnsi="宋体" w:cs="宋体"/>
          <w:color w:val="auto"/>
          <w:highlight w:val="none"/>
        </w:rPr>
      </w:pPr>
      <w:r>
        <w:rPr>
          <w:rFonts w:hint="eastAsia" w:ascii="宋体" w:hAnsi="宋体" w:cs="宋体"/>
          <w:color w:val="auto"/>
          <w:sz w:val="24"/>
          <w:highlight w:val="none"/>
        </w:rPr>
        <w:t>5.2评标委员会成员对需要共同认定的事项存在争议的，应当按照少数服从多数的原则作出结论。持不同意见的评标委员会成员应当在评标报告上签署不同意见及理由，否则视为同意评标报告。</w:t>
      </w:r>
    </w:p>
    <w:p w14:paraId="7C062F82">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6F3C72D8">
      <w:pPr>
        <w:spacing w:line="440" w:lineRule="exact"/>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二、评标办法和标准</w:t>
      </w:r>
    </w:p>
    <w:p w14:paraId="0569DD9D">
      <w:pPr>
        <w:spacing w:line="440" w:lineRule="exact"/>
        <w:jc w:val="both"/>
        <w:rPr>
          <w:rFonts w:ascii="宋体" w:hAnsi="宋体" w:cs="宋体"/>
          <w:b/>
          <w:color w:val="auto"/>
          <w:sz w:val="24"/>
          <w:szCs w:val="24"/>
          <w:highlight w:val="none"/>
        </w:rPr>
      </w:pPr>
      <w:r>
        <w:rPr>
          <w:rFonts w:hint="eastAsia" w:ascii="宋体" w:hAnsi="宋体" w:cs="宋体"/>
          <w:b/>
          <w:color w:val="auto"/>
          <w:sz w:val="24"/>
          <w:szCs w:val="24"/>
          <w:highlight w:val="none"/>
        </w:rPr>
        <w:t>（一）资格审查</w:t>
      </w:r>
    </w:p>
    <w:tbl>
      <w:tblPr>
        <w:tblStyle w:val="4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794"/>
        <w:gridCol w:w="7118"/>
      </w:tblGrid>
      <w:tr w14:paraId="422D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4" w:type="pct"/>
            <w:vMerge w:val="restart"/>
            <w:vAlign w:val="center"/>
          </w:tcPr>
          <w:p w14:paraId="6681F0EF">
            <w:pPr>
              <w:autoSpaceDE w:val="0"/>
              <w:autoSpaceDN w:val="0"/>
              <w:adjustRightInd w:val="0"/>
              <w:spacing w:line="288"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序号</w:t>
            </w:r>
          </w:p>
        </w:tc>
        <w:tc>
          <w:tcPr>
            <w:tcW w:w="949" w:type="pct"/>
            <w:vMerge w:val="restart"/>
            <w:vAlign w:val="center"/>
          </w:tcPr>
          <w:p w14:paraId="61CC65E3">
            <w:pPr>
              <w:autoSpaceDE w:val="0"/>
              <w:autoSpaceDN w:val="0"/>
              <w:adjustRightInd w:val="0"/>
              <w:spacing w:line="288"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评审因素</w:t>
            </w:r>
          </w:p>
        </w:tc>
        <w:tc>
          <w:tcPr>
            <w:tcW w:w="3766" w:type="pct"/>
            <w:vMerge w:val="restart"/>
            <w:vAlign w:val="center"/>
          </w:tcPr>
          <w:p w14:paraId="2FD89561">
            <w:pPr>
              <w:autoSpaceDE w:val="0"/>
              <w:autoSpaceDN w:val="0"/>
              <w:adjustRightInd w:val="0"/>
              <w:spacing w:line="288"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评审标准</w:t>
            </w:r>
          </w:p>
        </w:tc>
      </w:tr>
      <w:tr w14:paraId="2C0A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4" w:type="pct"/>
            <w:vMerge w:val="continue"/>
            <w:vAlign w:val="center"/>
          </w:tcPr>
          <w:p w14:paraId="04BBFE47">
            <w:pPr>
              <w:autoSpaceDE w:val="0"/>
              <w:autoSpaceDN w:val="0"/>
              <w:adjustRightInd w:val="0"/>
              <w:spacing w:line="288" w:lineRule="auto"/>
              <w:jc w:val="center"/>
              <w:rPr>
                <w:rFonts w:ascii="宋体" w:hAnsi="宋体" w:cs="宋体"/>
                <w:color w:val="auto"/>
                <w:sz w:val="24"/>
                <w:szCs w:val="24"/>
                <w:highlight w:val="none"/>
                <w:lang w:val="zh-CN"/>
              </w:rPr>
            </w:pPr>
          </w:p>
        </w:tc>
        <w:tc>
          <w:tcPr>
            <w:tcW w:w="949" w:type="pct"/>
            <w:vMerge w:val="continue"/>
            <w:vAlign w:val="center"/>
          </w:tcPr>
          <w:p w14:paraId="0B8C52B1">
            <w:pPr>
              <w:autoSpaceDE w:val="0"/>
              <w:autoSpaceDN w:val="0"/>
              <w:adjustRightInd w:val="0"/>
              <w:spacing w:line="288" w:lineRule="auto"/>
              <w:jc w:val="center"/>
              <w:rPr>
                <w:rFonts w:ascii="宋体" w:hAnsi="宋体" w:cs="宋体"/>
                <w:color w:val="auto"/>
                <w:sz w:val="24"/>
                <w:szCs w:val="24"/>
                <w:highlight w:val="none"/>
                <w:lang w:val="zh-CN"/>
              </w:rPr>
            </w:pPr>
          </w:p>
        </w:tc>
        <w:tc>
          <w:tcPr>
            <w:tcW w:w="3766" w:type="pct"/>
            <w:vMerge w:val="continue"/>
            <w:vAlign w:val="center"/>
          </w:tcPr>
          <w:p w14:paraId="428AE61D">
            <w:pPr>
              <w:autoSpaceDE w:val="0"/>
              <w:autoSpaceDN w:val="0"/>
              <w:adjustRightInd w:val="0"/>
              <w:spacing w:line="288" w:lineRule="auto"/>
              <w:jc w:val="center"/>
              <w:rPr>
                <w:rFonts w:ascii="宋体" w:hAnsi="宋体" w:cs="宋体"/>
                <w:color w:val="auto"/>
                <w:sz w:val="24"/>
                <w:szCs w:val="24"/>
                <w:highlight w:val="none"/>
                <w:lang w:val="zh-CN"/>
              </w:rPr>
            </w:pPr>
          </w:p>
        </w:tc>
      </w:tr>
      <w:tr w14:paraId="22A8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 w:type="pct"/>
            <w:vAlign w:val="center"/>
          </w:tcPr>
          <w:p w14:paraId="0978C49B">
            <w:pPr>
              <w:autoSpaceDE w:val="0"/>
              <w:autoSpaceDN w:val="0"/>
              <w:adjustRightInd w:val="0"/>
              <w:spacing w:line="288"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p>
        </w:tc>
        <w:tc>
          <w:tcPr>
            <w:tcW w:w="949" w:type="pct"/>
            <w:vAlign w:val="center"/>
          </w:tcPr>
          <w:p w14:paraId="300BCD81">
            <w:pPr>
              <w:spacing w:line="288"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营业执照</w:t>
            </w:r>
          </w:p>
        </w:tc>
        <w:tc>
          <w:tcPr>
            <w:tcW w:w="3766" w:type="pct"/>
            <w:vAlign w:val="center"/>
          </w:tcPr>
          <w:p w14:paraId="4053CE90">
            <w:pPr>
              <w:jc w:val="both"/>
              <w:rPr>
                <w:rFonts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投标人须具备有效的营业执照</w:t>
            </w:r>
            <w:r>
              <w:rPr>
                <w:rFonts w:hint="eastAsia" w:ascii="宋体" w:hAnsi="宋体" w:cs="宋体"/>
                <w:color w:val="auto"/>
                <w:sz w:val="24"/>
                <w:szCs w:val="24"/>
                <w:highlight w:val="none"/>
                <w:lang w:val="zh-CN"/>
              </w:rPr>
              <w:t>。</w:t>
            </w:r>
          </w:p>
          <w:p w14:paraId="747EE039">
            <w:pPr>
              <w:jc w:val="both"/>
              <w:rPr>
                <w:rFonts w:ascii="宋体" w:hAnsi="宋体" w:cs="宋体"/>
                <w:color w:val="auto"/>
                <w:sz w:val="24"/>
                <w:szCs w:val="24"/>
                <w:highlight w:val="none"/>
              </w:rPr>
            </w:pPr>
            <w:r>
              <w:rPr>
                <w:rFonts w:hint="eastAsia" w:ascii="宋体" w:hAnsi="宋体" w:cs="宋体"/>
                <w:b/>
                <w:bCs/>
                <w:color w:val="auto"/>
                <w:sz w:val="24"/>
                <w:szCs w:val="24"/>
                <w:highlight w:val="none"/>
                <w:lang w:val="zh-CN"/>
              </w:rPr>
              <w:t>投标文件内附营业执照复印件加盖公章。</w:t>
            </w:r>
          </w:p>
        </w:tc>
      </w:tr>
      <w:tr w14:paraId="1F81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 w:type="pct"/>
            <w:shd w:val="clear" w:color="auto" w:fill="auto"/>
            <w:vAlign w:val="center"/>
          </w:tcPr>
          <w:p w14:paraId="56103393">
            <w:pPr>
              <w:autoSpaceDE w:val="0"/>
              <w:autoSpaceDN w:val="0"/>
              <w:adjustRightInd w:val="0"/>
              <w:spacing w:line="288" w:lineRule="auto"/>
              <w:jc w:val="center"/>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zh-CN"/>
              </w:rPr>
              <w:t>2</w:t>
            </w:r>
          </w:p>
        </w:tc>
        <w:tc>
          <w:tcPr>
            <w:tcW w:w="949" w:type="pct"/>
            <w:shd w:val="clear" w:color="auto" w:fill="auto"/>
            <w:vAlign w:val="center"/>
          </w:tcPr>
          <w:p w14:paraId="2826C62F">
            <w:pPr>
              <w:spacing w:line="288" w:lineRule="auto"/>
              <w:jc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财务状况</w:t>
            </w:r>
          </w:p>
        </w:tc>
        <w:tc>
          <w:tcPr>
            <w:tcW w:w="3766" w:type="pct"/>
            <w:shd w:val="clear" w:color="auto" w:fill="auto"/>
            <w:vAlign w:val="center"/>
          </w:tcPr>
          <w:p w14:paraId="733E8DA9">
            <w:pPr>
              <w:jc w:val="both"/>
              <w:rPr>
                <w:rFonts w:hint="default" w:ascii="宋体" w:hAnsi="宋体" w:eastAsia="宋体" w:cs="宋体"/>
                <w:color w:val="auto"/>
                <w:sz w:val="24"/>
                <w:szCs w:val="24"/>
                <w:highlight w:val="none"/>
                <w:lang w:val="en-US" w:eastAsia="zh-CN" w:bidi="ar-SA"/>
              </w:rPr>
            </w:pPr>
            <w:r>
              <w:rPr>
                <w:rFonts w:hint="eastAsia" w:ascii="宋体" w:hAnsi="宋体" w:cs="宋体"/>
                <w:b/>
                <w:bCs/>
                <w:color w:val="auto"/>
                <w:sz w:val="24"/>
                <w:szCs w:val="24"/>
                <w:highlight w:val="none"/>
                <w:lang w:val="zh-CN"/>
              </w:rPr>
              <w:t>近年</w:t>
            </w:r>
            <w:r>
              <w:rPr>
                <w:rFonts w:hint="eastAsia" w:ascii="宋体" w:hAnsi="宋体" w:cs="宋体"/>
                <w:b/>
                <w:bCs/>
                <w:color w:val="auto"/>
                <w:sz w:val="24"/>
                <w:szCs w:val="24"/>
                <w:highlight w:val="none"/>
                <w:lang w:val="zh-CN" w:eastAsia="zh-CN"/>
              </w:rPr>
              <w:t>（202</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lang w:val="zh-CN"/>
              </w:rPr>
              <w:t>年）经会计师事务所</w:t>
            </w:r>
            <w:r>
              <w:rPr>
                <w:rFonts w:hint="eastAsia" w:ascii="宋体" w:hAnsi="宋体" w:cs="宋体"/>
                <w:b/>
                <w:bCs/>
                <w:color w:val="auto"/>
                <w:sz w:val="24"/>
                <w:szCs w:val="24"/>
                <w:highlight w:val="none"/>
                <w:lang w:val="en-US" w:eastAsia="zh-CN"/>
              </w:rPr>
              <w:t>出具</w:t>
            </w:r>
            <w:r>
              <w:rPr>
                <w:rFonts w:hint="eastAsia" w:ascii="宋体" w:hAnsi="宋体" w:cs="宋体"/>
                <w:b/>
                <w:bCs/>
                <w:color w:val="auto"/>
                <w:sz w:val="24"/>
                <w:szCs w:val="24"/>
                <w:highlight w:val="none"/>
                <w:lang w:val="zh-CN"/>
              </w:rPr>
              <w:t>的财务审计报告（若投标人为</w:t>
            </w:r>
            <w:r>
              <w:rPr>
                <w:rFonts w:hint="eastAsia" w:ascii="宋体" w:hAnsi="宋体" w:cs="宋体"/>
                <w:b/>
                <w:bCs/>
                <w:color w:val="auto"/>
                <w:sz w:val="24"/>
                <w:szCs w:val="24"/>
                <w:highlight w:val="none"/>
                <w:lang w:val="zh-CN" w:eastAsia="zh-CN"/>
              </w:rPr>
              <w:t>202</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lang w:val="zh-CN"/>
              </w:rPr>
              <w:t>年</w:t>
            </w:r>
            <w:r>
              <w:rPr>
                <w:rFonts w:hint="eastAsia" w:ascii="宋体" w:hAnsi="宋体" w:cs="宋体"/>
                <w:b/>
                <w:bCs/>
                <w:color w:val="auto"/>
                <w:sz w:val="24"/>
                <w:szCs w:val="24"/>
                <w:highlight w:val="none"/>
                <w:lang w:val="en-US" w:eastAsia="zh-CN"/>
              </w:rPr>
              <w:t>12月31日</w:t>
            </w:r>
            <w:r>
              <w:rPr>
                <w:rFonts w:hint="eastAsia" w:ascii="宋体" w:hAnsi="宋体" w:cs="宋体"/>
                <w:b/>
                <w:bCs/>
                <w:color w:val="auto"/>
                <w:sz w:val="24"/>
                <w:szCs w:val="24"/>
                <w:highlight w:val="none"/>
                <w:lang w:val="zh-CN"/>
              </w:rPr>
              <w:t>以后注册成立的公司，仅需提供银行出具的资信证明即可）复印件加盖公章。</w:t>
            </w:r>
          </w:p>
        </w:tc>
      </w:tr>
      <w:tr w14:paraId="21D4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 w:type="pct"/>
            <w:shd w:val="clear" w:color="auto" w:fill="auto"/>
            <w:vAlign w:val="center"/>
          </w:tcPr>
          <w:p w14:paraId="45679A78">
            <w:pPr>
              <w:autoSpaceDE w:val="0"/>
              <w:autoSpaceDN w:val="0"/>
              <w:adjustRightInd w:val="0"/>
              <w:spacing w:line="288" w:lineRule="auto"/>
              <w:jc w:val="center"/>
              <w:rPr>
                <w:rFonts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zh-CN"/>
              </w:rPr>
              <w:t>3</w:t>
            </w:r>
          </w:p>
        </w:tc>
        <w:tc>
          <w:tcPr>
            <w:tcW w:w="949" w:type="pct"/>
            <w:shd w:val="clear" w:color="auto" w:fill="auto"/>
            <w:vAlign w:val="center"/>
          </w:tcPr>
          <w:p w14:paraId="687B95AD">
            <w:pPr>
              <w:spacing w:line="288" w:lineRule="auto"/>
              <w:jc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履约能力</w:t>
            </w:r>
          </w:p>
        </w:tc>
        <w:tc>
          <w:tcPr>
            <w:tcW w:w="3766" w:type="pct"/>
            <w:shd w:val="clear" w:color="auto" w:fill="auto"/>
            <w:vAlign w:val="center"/>
          </w:tcPr>
          <w:p w14:paraId="226421DC">
            <w:pPr>
              <w:jc w:val="both"/>
              <w:rPr>
                <w:rFonts w:ascii="宋体" w:hAnsi="宋体" w:cs="宋体"/>
                <w:color w:val="auto"/>
                <w:sz w:val="24"/>
                <w:szCs w:val="24"/>
                <w:highlight w:val="none"/>
              </w:rPr>
            </w:pPr>
            <w:r>
              <w:rPr>
                <w:rFonts w:hint="eastAsia" w:ascii="宋体" w:hAnsi="宋体" w:cs="宋体"/>
                <w:color w:val="auto"/>
                <w:sz w:val="24"/>
                <w:szCs w:val="24"/>
                <w:highlight w:val="none"/>
              </w:rPr>
              <w:t>具有履行合同所必需的设备和专业技术能力。</w:t>
            </w:r>
          </w:p>
          <w:p w14:paraId="63C1F702">
            <w:pPr>
              <w:jc w:val="both"/>
              <w:rPr>
                <w:rFonts w:ascii="宋体" w:hAnsi="宋体" w:eastAsia="宋体" w:cs="宋体"/>
                <w:color w:val="auto"/>
                <w:sz w:val="24"/>
                <w:szCs w:val="24"/>
                <w:highlight w:val="none"/>
                <w:lang w:val="en-US" w:eastAsia="zh-CN" w:bidi="ar-SA"/>
              </w:rPr>
            </w:pPr>
            <w:r>
              <w:rPr>
                <w:rFonts w:hint="eastAsia" w:ascii="宋体" w:hAnsi="宋体" w:cs="宋体"/>
                <w:b/>
                <w:bCs/>
                <w:color w:val="auto"/>
                <w:sz w:val="24"/>
                <w:szCs w:val="24"/>
                <w:highlight w:val="none"/>
                <w:lang w:val="zh-CN"/>
              </w:rPr>
              <w:t>投标文件内附由法定代表人或授权代表签字或盖章并加盖公章的承诺书。</w:t>
            </w:r>
          </w:p>
        </w:tc>
      </w:tr>
      <w:tr w14:paraId="0162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84" w:type="pct"/>
            <w:shd w:val="clear" w:color="auto" w:fill="auto"/>
            <w:vAlign w:val="center"/>
          </w:tcPr>
          <w:p w14:paraId="7D84117D">
            <w:pPr>
              <w:autoSpaceDE w:val="0"/>
              <w:autoSpaceDN w:val="0"/>
              <w:adjustRightInd w:val="0"/>
              <w:spacing w:line="288" w:lineRule="auto"/>
              <w:jc w:val="center"/>
              <w:rPr>
                <w:rFonts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zh-CN"/>
              </w:rPr>
              <w:t>4</w:t>
            </w:r>
          </w:p>
        </w:tc>
        <w:tc>
          <w:tcPr>
            <w:tcW w:w="949" w:type="pct"/>
            <w:shd w:val="clear" w:color="auto" w:fill="auto"/>
            <w:vAlign w:val="center"/>
          </w:tcPr>
          <w:p w14:paraId="6C782175">
            <w:pPr>
              <w:spacing w:line="288" w:lineRule="auto"/>
              <w:jc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纳税及社保</w:t>
            </w:r>
          </w:p>
        </w:tc>
        <w:tc>
          <w:tcPr>
            <w:tcW w:w="3766" w:type="pct"/>
            <w:shd w:val="clear" w:color="auto" w:fill="auto"/>
            <w:vAlign w:val="center"/>
          </w:tcPr>
          <w:p w14:paraId="2379C9BA">
            <w:pPr>
              <w:jc w:val="both"/>
              <w:rPr>
                <w:rFonts w:ascii="宋体" w:hAnsi="宋体" w:cs="宋体"/>
                <w:color w:val="auto"/>
                <w:sz w:val="24"/>
                <w:szCs w:val="24"/>
                <w:highlight w:val="none"/>
              </w:rPr>
            </w:pPr>
            <w:r>
              <w:rPr>
                <w:rFonts w:hint="eastAsia" w:ascii="宋体" w:hAnsi="宋体" w:cs="宋体"/>
                <w:color w:val="auto"/>
                <w:sz w:val="24"/>
                <w:szCs w:val="24"/>
                <w:highlight w:val="none"/>
              </w:rPr>
              <w:t>具有依法缴纳税收和社会保障金的良好记录。</w:t>
            </w:r>
          </w:p>
          <w:p w14:paraId="4E2C2A2D">
            <w:pPr>
              <w:jc w:val="both"/>
              <w:rPr>
                <w:rFonts w:ascii="宋体" w:hAnsi="宋体" w:eastAsia="宋体" w:cs="宋体"/>
                <w:color w:val="auto"/>
                <w:sz w:val="24"/>
                <w:szCs w:val="24"/>
                <w:highlight w:val="none"/>
                <w:lang w:val="en-US" w:eastAsia="zh-CN" w:bidi="ar-SA"/>
              </w:rPr>
            </w:pPr>
            <w:r>
              <w:rPr>
                <w:rFonts w:hint="eastAsia" w:ascii="宋体" w:hAnsi="宋体" w:cs="宋体"/>
                <w:b/>
                <w:bCs/>
                <w:color w:val="auto"/>
                <w:sz w:val="24"/>
                <w:szCs w:val="24"/>
                <w:highlight w:val="none"/>
                <w:lang w:val="zh-CN"/>
              </w:rPr>
              <w:t>投标文件内附近半年内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2025年1月1日至2025年6月30日</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lang w:val="zh-CN" w:eastAsia="zh-CN"/>
              </w:rPr>
              <w:t>任意一个月</w:t>
            </w:r>
            <w:r>
              <w:rPr>
                <w:rFonts w:hint="eastAsia" w:ascii="宋体" w:hAnsi="宋体" w:cs="宋体"/>
                <w:b/>
                <w:bCs/>
                <w:color w:val="auto"/>
                <w:sz w:val="24"/>
                <w:szCs w:val="24"/>
                <w:highlight w:val="none"/>
                <w:lang w:val="zh-CN"/>
              </w:rPr>
              <w:t>纳税证明及社会保障资金缴纳证明复印件加盖公章（依法免税的，应提供其依法免税证明）。</w:t>
            </w:r>
          </w:p>
        </w:tc>
      </w:tr>
      <w:tr w14:paraId="2FD5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 w:type="pct"/>
            <w:shd w:val="clear" w:color="auto" w:fill="auto"/>
            <w:vAlign w:val="center"/>
          </w:tcPr>
          <w:p w14:paraId="4F595A84">
            <w:pPr>
              <w:autoSpaceDE w:val="0"/>
              <w:autoSpaceDN w:val="0"/>
              <w:adjustRightInd w:val="0"/>
              <w:spacing w:line="288" w:lineRule="auto"/>
              <w:jc w:val="center"/>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en-US" w:eastAsia="zh-CN"/>
              </w:rPr>
              <w:t>5</w:t>
            </w:r>
          </w:p>
        </w:tc>
        <w:tc>
          <w:tcPr>
            <w:tcW w:w="949" w:type="pct"/>
            <w:shd w:val="clear" w:color="auto" w:fill="auto"/>
            <w:vAlign w:val="center"/>
          </w:tcPr>
          <w:p w14:paraId="40AF2399">
            <w:pPr>
              <w:autoSpaceDE w:val="0"/>
              <w:autoSpaceDN w:val="0"/>
              <w:adjustRightInd w:val="0"/>
              <w:spacing w:line="288" w:lineRule="auto"/>
              <w:jc w:val="center"/>
              <w:rPr>
                <w:rFonts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rPr>
              <w:t>信誉要求</w:t>
            </w:r>
          </w:p>
        </w:tc>
        <w:tc>
          <w:tcPr>
            <w:tcW w:w="3766" w:type="pct"/>
            <w:shd w:val="clear" w:color="auto" w:fill="auto"/>
            <w:vAlign w:val="center"/>
          </w:tcPr>
          <w:p w14:paraId="64782441">
            <w:pPr>
              <w:adjustRightInd w:val="0"/>
              <w:spacing w:line="288"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拒绝列入政府取消投标资格记录期间的企业或个人投标；投标人没有被责令停业、破产或被农业农村部通报质量不合格的企业。</w:t>
            </w:r>
          </w:p>
          <w:p w14:paraId="44AB11E7">
            <w:pPr>
              <w:adjustRightInd w:val="0"/>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2.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w:t>
            </w:r>
            <w:r>
              <w:rPr>
                <w:rFonts w:hint="eastAsia" w:ascii="宋体" w:hAnsi="宋体" w:cs="宋体"/>
                <w:color w:val="auto"/>
                <w:sz w:val="24"/>
                <w:szCs w:val="24"/>
                <w:highlight w:val="none"/>
                <w:lang w:eastAsia="zh-CN"/>
              </w:rPr>
              <w:t>在2022年至今供应商和其法定代表人在“中国裁判文书网”</w:t>
            </w:r>
            <w:r>
              <w:rPr>
                <w:rFonts w:hint="eastAsia" w:ascii="宋体" w:hAnsi="宋体" w:cs="宋体"/>
                <w:color w:val="auto"/>
                <w:sz w:val="24"/>
                <w:szCs w:val="24"/>
                <w:highlight w:val="none"/>
              </w:rPr>
              <w:t>(wenshu.court.gov.cn)上无行贿犯罪行为；</w:t>
            </w:r>
          </w:p>
          <w:p w14:paraId="151B0CFC">
            <w:pPr>
              <w:adjustRightInd w:val="0"/>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3.与采购人存在利害关系可能影响招标公正性的法人、其他组织或者个人，不得参加本项目投标；单位负责人为同一人或者存在直接控股、管理关系的不同供应商，不得参加同一合同项下的政府采购活动；</w:t>
            </w:r>
          </w:p>
          <w:p w14:paraId="0561A9BD">
            <w:pPr>
              <w:adjustRightInd w:val="0"/>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4.参加政府采购活动前三年内，在经营活动中没有重大违法记录。</w:t>
            </w:r>
          </w:p>
          <w:p w14:paraId="238E89BD">
            <w:pPr>
              <w:adjustRightInd w:val="0"/>
              <w:spacing w:line="288" w:lineRule="auto"/>
              <w:jc w:val="both"/>
              <w:rPr>
                <w:rFonts w:ascii="宋体" w:hAnsi="宋体" w:eastAsia="宋体" w:cs="宋体"/>
                <w:color w:val="auto"/>
                <w:sz w:val="24"/>
                <w:szCs w:val="24"/>
                <w:highlight w:val="none"/>
                <w:lang w:val="en-US" w:eastAsia="zh-CN" w:bidi="ar-SA"/>
              </w:rPr>
            </w:pPr>
            <w:r>
              <w:rPr>
                <w:rFonts w:hint="eastAsia" w:ascii="宋体" w:hAnsi="宋体" w:cs="宋体"/>
                <w:b/>
                <w:bCs/>
                <w:color w:val="auto"/>
                <w:sz w:val="24"/>
                <w:szCs w:val="24"/>
                <w:highlight w:val="none"/>
              </w:rPr>
              <w:t>投标文件内附由法定代表人或授权代表签字或盖章并加盖公章的承诺书。</w:t>
            </w:r>
          </w:p>
        </w:tc>
      </w:tr>
      <w:tr w14:paraId="46FA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 w:type="pct"/>
            <w:vAlign w:val="center"/>
          </w:tcPr>
          <w:p w14:paraId="508D049E">
            <w:pPr>
              <w:autoSpaceDE w:val="0"/>
              <w:autoSpaceDN w:val="0"/>
              <w:adjustRightInd w:val="0"/>
              <w:spacing w:line="288"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949" w:type="pct"/>
            <w:shd w:val="clear" w:color="auto" w:fill="auto"/>
            <w:vAlign w:val="center"/>
          </w:tcPr>
          <w:p w14:paraId="10EB383A">
            <w:pPr>
              <w:autoSpaceDE w:val="0"/>
              <w:autoSpaceDN w:val="0"/>
              <w:adjustRightInd w:val="0"/>
              <w:spacing w:line="288" w:lineRule="auto"/>
              <w:jc w:val="center"/>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en-US" w:eastAsia="zh-CN"/>
              </w:rPr>
              <w:t>其他</w:t>
            </w:r>
          </w:p>
        </w:tc>
        <w:tc>
          <w:tcPr>
            <w:tcW w:w="3766" w:type="pct"/>
            <w:shd w:val="clear" w:color="auto" w:fill="auto"/>
            <w:vAlign w:val="center"/>
          </w:tcPr>
          <w:p w14:paraId="1C4A4C4D">
            <w:pPr>
              <w:adjustRightInd w:val="0"/>
              <w:spacing w:line="288" w:lineRule="auto"/>
              <w:jc w:val="both"/>
              <w:rPr>
                <w:rFonts w:hint="eastAsia"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lang w:val="en-US" w:eastAsia="zh-CN"/>
              </w:rPr>
              <w:t>本项目不接受联合体投标。</w:t>
            </w:r>
          </w:p>
        </w:tc>
      </w:tr>
    </w:tbl>
    <w:p w14:paraId="0407A518">
      <w:pPr>
        <w:rPr>
          <w:color w:val="auto"/>
          <w:highlight w:val="none"/>
        </w:rPr>
      </w:pPr>
      <w:r>
        <w:rPr>
          <w:rFonts w:hint="eastAsia" w:ascii="宋体" w:hAnsi="宋体" w:cs="宋体"/>
          <w:b/>
          <w:bCs/>
          <w:color w:val="auto"/>
          <w:sz w:val="24"/>
          <w:szCs w:val="24"/>
          <w:highlight w:val="none"/>
          <w:lang w:bidi="ar"/>
        </w:rPr>
        <w:t>注：上述表中任何一项不合格，审查结论为“不合格”，不进入符合性审查。</w:t>
      </w:r>
    </w:p>
    <w:p w14:paraId="260FBB17">
      <w:pPr>
        <w:rPr>
          <w:rFonts w:ascii="宋体" w:hAnsi="宋体" w:cs="宋体"/>
          <w:b/>
          <w:color w:val="auto"/>
          <w:sz w:val="21"/>
          <w:szCs w:val="21"/>
          <w:highlight w:val="none"/>
        </w:rPr>
      </w:pPr>
      <w:r>
        <w:rPr>
          <w:rFonts w:hint="eastAsia" w:ascii="宋体" w:hAnsi="宋体" w:cs="宋体"/>
          <w:b/>
          <w:color w:val="auto"/>
          <w:sz w:val="21"/>
          <w:szCs w:val="21"/>
          <w:highlight w:val="none"/>
        </w:rPr>
        <w:br w:type="page"/>
      </w:r>
    </w:p>
    <w:p w14:paraId="584381B9">
      <w:pPr>
        <w:spacing w:line="440" w:lineRule="exact"/>
        <w:jc w:val="both"/>
        <w:rPr>
          <w:rFonts w:ascii="宋体" w:hAnsi="宋体" w:cs="宋体"/>
          <w:b/>
          <w:color w:val="auto"/>
          <w:sz w:val="24"/>
          <w:szCs w:val="24"/>
          <w:highlight w:val="none"/>
        </w:rPr>
      </w:pPr>
      <w:r>
        <w:rPr>
          <w:rFonts w:hint="eastAsia" w:ascii="宋体" w:hAnsi="宋体" w:cs="宋体"/>
          <w:b/>
          <w:color w:val="auto"/>
          <w:sz w:val="24"/>
          <w:szCs w:val="24"/>
          <w:highlight w:val="none"/>
        </w:rPr>
        <w:t>（二）符合性审查</w:t>
      </w:r>
    </w:p>
    <w:tbl>
      <w:tblPr>
        <w:tblStyle w:val="4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8660"/>
      </w:tblGrid>
      <w:tr w14:paraId="0F20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417" w:type="pct"/>
            <w:vMerge w:val="restart"/>
            <w:vAlign w:val="center"/>
          </w:tcPr>
          <w:p w14:paraId="104A81D2">
            <w:pPr>
              <w:autoSpaceDE w:val="0"/>
              <w:autoSpaceDN w:val="0"/>
              <w:adjustRightInd w:val="0"/>
              <w:spacing w:line="288"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序号</w:t>
            </w:r>
          </w:p>
        </w:tc>
        <w:tc>
          <w:tcPr>
            <w:tcW w:w="4582" w:type="pct"/>
            <w:vMerge w:val="restart"/>
            <w:vAlign w:val="center"/>
          </w:tcPr>
          <w:p w14:paraId="1A642BF6">
            <w:pPr>
              <w:autoSpaceDE w:val="0"/>
              <w:autoSpaceDN w:val="0"/>
              <w:adjustRightInd w:val="0"/>
              <w:spacing w:line="288"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评审内容</w:t>
            </w:r>
          </w:p>
        </w:tc>
      </w:tr>
      <w:tr w14:paraId="6480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17" w:type="pct"/>
            <w:vMerge w:val="continue"/>
            <w:vAlign w:val="center"/>
          </w:tcPr>
          <w:p w14:paraId="51064058">
            <w:pPr>
              <w:autoSpaceDE w:val="0"/>
              <w:autoSpaceDN w:val="0"/>
              <w:adjustRightInd w:val="0"/>
              <w:spacing w:line="288" w:lineRule="auto"/>
              <w:jc w:val="center"/>
              <w:rPr>
                <w:rFonts w:ascii="宋体" w:hAnsi="宋体" w:cs="宋体"/>
                <w:bCs/>
                <w:color w:val="auto"/>
                <w:sz w:val="24"/>
                <w:szCs w:val="24"/>
                <w:highlight w:val="none"/>
                <w:lang w:val="zh-CN"/>
              </w:rPr>
            </w:pPr>
          </w:p>
        </w:tc>
        <w:tc>
          <w:tcPr>
            <w:tcW w:w="4582" w:type="pct"/>
            <w:vMerge w:val="continue"/>
            <w:vAlign w:val="center"/>
          </w:tcPr>
          <w:p w14:paraId="4DB81A1D">
            <w:pPr>
              <w:autoSpaceDE w:val="0"/>
              <w:autoSpaceDN w:val="0"/>
              <w:adjustRightInd w:val="0"/>
              <w:spacing w:line="288" w:lineRule="auto"/>
              <w:jc w:val="center"/>
              <w:rPr>
                <w:rFonts w:ascii="宋体" w:hAnsi="宋体" w:cs="宋体"/>
                <w:bCs/>
                <w:color w:val="auto"/>
                <w:sz w:val="24"/>
                <w:szCs w:val="24"/>
                <w:highlight w:val="none"/>
                <w:lang w:val="zh-CN"/>
              </w:rPr>
            </w:pPr>
          </w:p>
        </w:tc>
      </w:tr>
      <w:tr w14:paraId="4EBC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17" w:type="pct"/>
            <w:vAlign w:val="center"/>
          </w:tcPr>
          <w:p w14:paraId="63A7E435">
            <w:pPr>
              <w:autoSpaceDE w:val="0"/>
              <w:autoSpaceDN w:val="0"/>
              <w:adjustRightInd w:val="0"/>
              <w:spacing w:line="288"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4582" w:type="pct"/>
            <w:shd w:val="clear" w:color="auto" w:fill="auto"/>
            <w:vAlign w:val="center"/>
          </w:tcPr>
          <w:p w14:paraId="496600A1">
            <w:pPr>
              <w:autoSpaceDE w:val="0"/>
              <w:autoSpaceDN w:val="0"/>
              <w:adjustRightInd w:val="0"/>
              <w:spacing w:line="288" w:lineRule="auto"/>
              <w:jc w:val="both"/>
              <w:rPr>
                <w:rFonts w:hint="eastAsia" w:ascii="宋体" w:hAnsi="宋体" w:eastAsia="宋体" w:cs="宋体"/>
                <w:bCs/>
                <w:color w:val="auto"/>
                <w:sz w:val="24"/>
                <w:szCs w:val="24"/>
                <w:highlight w:val="none"/>
                <w:lang w:val="zh-CN" w:eastAsia="zh-CN" w:bidi="ar-SA"/>
              </w:rPr>
            </w:pPr>
            <w:r>
              <w:rPr>
                <w:rFonts w:hint="eastAsia" w:ascii="宋体" w:hAnsi="宋体" w:cs="宋体"/>
                <w:bCs/>
                <w:color w:val="auto"/>
                <w:sz w:val="24"/>
                <w:szCs w:val="24"/>
                <w:highlight w:val="none"/>
                <w:lang w:val="zh-CN"/>
              </w:rPr>
              <w:t>投标函</w:t>
            </w:r>
            <w:r>
              <w:rPr>
                <w:rFonts w:hint="eastAsia" w:ascii="宋体" w:hAnsi="宋体" w:cs="宋体"/>
                <w:bCs/>
                <w:color w:val="auto"/>
                <w:sz w:val="24"/>
                <w:szCs w:val="24"/>
                <w:highlight w:val="none"/>
                <w:lang w:val="en-US" w:eastAsia="zh-CN"/>
              </w:rPr>
              <w:t>及开标一览表</w:t>
            </w:r>
            <w:r>
              <w:rPr>
                <w:rFonts w:hint="eastAsia" w:ascii="宋体" w:hAnsi="宋体" w:cs="宋体"/>
                <w:bCs/>
                <w:color w:val="auto"/>
                <w:sz w:val="24"/>
                <w:szCs w:val="24"/>
                <w:highlight w:val="none"/>
                <w:lang w:val="zh-CN"/>
              </w:rPr>
              <w:t>符合招标文件要求，</w:t>
            </w:r>
            <w:r>
              <w:rPr>
                <w:rFonts w:hint="eastAsia" w:ascii="宋体" w:hAnsi="宋体" w:cs="宋体"/>
                <w:bCs/>
                <w:color w:val="auto"/>
                <w:sz w:val="24"/>
                <w:szCs w:val="24"/>
                <w:highlight w:val="none"/>
                <w:lang w:val="en-US" w:eastAsia="zh-CN"/>
              </w:rPr>
              <w:t>且</w:t>
            </w:r>
            <w:r>
              <w:rPr>
                <w:rFonts w:hint="eastAsia" w:ascii="宋体" w:hAnsi="宋体" w:cs="宋体"/>
                <w:bCs/>
                <w:snapToGrid w:val="0"/>
                <w:color w:val="auto"/>
                <w:sz w:val="24"/>
                <w:szCs w:val="24"/>
                <w:highlight w:val="none"/>
              </w:rPr>
              <w:t>投标有效期满足招标文件要求</w:t>
            </w:r>
            <w:r>
              <w:rPr>
                <w:rFonts w:hint="eastAsia" w:ascii="宋体" w:hAnsi="宋体" w:cs="宋体"/>
                <w:bCs/>
                <w:snapToGrid w:val="0"/>
                <w:color w:val="auto"/>
                <w:sz w:val="24"/>
                <w:szCs w:val="24"/>
                <w:highlight w:val="none"/>
                <w:lang w:eastAsia="zh-CN"/>
              </w:rPr>
              <w:t>。</w:t>
            </w:r>
          </w:p>
        </w:tc>
      </w:tr>
      <w:tr w14:paraId="1C00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17" w:type="pct"/>
            <w:vAlign w:val="center"/>
          </w:tcPr>
          <w:p w14:paraId="542950BF">
            <w:pPr>
              <w:autoSpaceDE w:val="0"/>
              <w:autoSpaceDN w:val="0"/>
              <w:adjustRightInd w:val="0"/>
              <w:spacing w:line="288"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4582" w:type="pct"/>
            <w:shd w:val="clear" w:color="auto" w:fill="auto"/>
            <w:vAlign w:val="center"/>
          </w:tcPr>
          <w:p w14:paraId="147CF888">
            <w:pPr>
              <w:widowControl w:val="0"/>
              <w:adjustRightInd w:val="0"/>
              <w:snapToGrid w:val="0"/>
              <w:spacing w:line="288" w:lineRule="auto"/>
              <w:jc w:val="both"/>
              <w:textAlignment w:val="baseline"/>
              <w:rPr>
                <w:rFonts w:ascii="宋体" w:hAnsi="宋体" w:eastAsia="宋体" w:cs="宋体"/>
                <w:bCs/>
                <w:snapToGrid w:val="0"/>
                <w:color w:val="auto"/>
                <w:sz w:val="24"/>
                <w:szCs w:val="24"/>
                <w:highlight w:val="none"/>
                <w:lang w:val="zh-CN" w:eastAsia="zh-CN" w:bidi="ar-SA"/>
              </w:rPr>
            </w:pPr>
            <w:r>
              <w:rPr>
                <w:rFonts w:hint="eastAsia" w:ascii="宋体" w:hAnsi="宋体" w:cs="宋体"/>
                <w:bCs/>
                <w:snapToGrid w:val="0"/>
                <w:color w:val="auto"/>
                <w:sz w:val="24"/>
                <w:szCs w:val="24"/>
                <w:highlight w:val="none"/>
              </w:rPr>
              <w:t>供应商报一个有效报价</w:t>
            </w:r>
            <w:r>
              <w:rPr>
                <w:rFonts w:hint="eastAsia" w:ascii="宋体" w:hAnsi="宋体" w:cs="宋体"/>
                <w:bCs/>
                <w:snapToGrid w:val="0"/>
                <w:color w:val="auto"/>
                <w:sz w:val="24"/>
                <w:szCs w:val="24"/>
                <w:highlight w:val="none"/>
                <w:lang w:eastAsia="zh-CN"/>
              </w:rPr>
              <w:t>，</w:t>
            </w:r>
            <w:r>
              <w:rPr>
                <w:rFonts w:hint="eastAsia" w:ascii="宋体" w:hAnsi="宋体" w:cs="宋体"/>
                <w:bCs/>
                <w:snapToGrid w:val="0"/>
                <w:color w:val="auto"/>
                <w:sz w:val="24"/>
                <w:szCs w:val="24"/>
                <w:highlight w:val="none"/>
              </w:rPr>
              <w:t>报价不超过</w:t>
            </w:r>
            <w:r>
              <w:rPr>
                <w:rFonts w:hint="eastAsia" w:ascii="宋体" w:hAnsi="宋体" w:cs="宋体"/>
                <w:bCs/>
                <w:color w:val="auto"/>
                <w:sz w:val="24"/>
                <w:szCs w:val="24"/>
                <w:highlight w:val="none"/>
                <w:lang w:val="zh-CN"/>
              </w:rPr>
              <w:t>预算金额。</w:t>
            </w:r>
          </w:p>
        </w:tc>
      </w:tr>
      <w:tr w14:paraId="37C5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vAlign w:val="center"/>
          </w:tcPr>
          <w:p w14:paraId="7BE57EF2">
            <w:pPr>
              <w:widowControl w:val="0"/>
              <w:adjustRightInd w:val="0"/>
              <w:snapToGrid w:val="0"/>
              <w:spacing w:line="288" w:lineRule="auto"/>
              <w:jc w:val="center"/>
              <w:textAlignment w:val="baseline"/>
              <w:rPr>
                <w:rFonts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3</w:t>
            </w:r>
          </w:p>
        </w:tc>
        <w:tc>
          <w:tcPr>
            <w:tcW w:w="4582" w:type="pct"/>
            <w:shd w:val="clear" w:color="auto" w:fill="auto"/>
            <w:vAlign w:val="center"/>
          </w:tcPr>
          <w:p w14:paraId="4BDF5EDA">
            <w:pPr>
              <w:widowControl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lang w:val="en-US" w:eastAsia="zh-CN" w:bidi="ar-SA"/>
              </w:rPr>
            </w:pPr>
            <w:r>
              <w:rPr>
                <w:rFonts w:hint="eastAsia" w:ascii="宋体" w:hAnsi="宋体" w:cs="宋体"/>
                <w:bCs/>
                <w:snapToGrid w:val="0"/>
                <w:color w:val="auto"/>
                <w:sz w:val="24"/>
                <w:szCs w:val="24"/>
                <w:highlight w:val="none"/>
              </w:rPr>
              <w:t>供应商名称与企业法人营业执照名称一致</w:t>
            </w:r>
            <w:r>
              <w:rPr>
                <w:rFonts w:hint="eastAsia" w:ascii="宋体" w:hAnsi="宋体" w:cs="宋体"/>
                <w:bCs/>
                <w:snapToGrid w:val="0"/>
                <w:color w:val="auto"/>
                <w:sz w:val="24"/>
                <w:szCs w:val="24"/>
                <w:highlight w:val="none"/>
                <w:lang w:eastAsia="zh-CN"/>
              </w:rPr>
              <w:t>。</w:t>
            </w:r>
          </w:p>
        </w:tc>
      </w:tr>
      <w:tr w14:paraId="4CB4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vAlign w:val="center"/>
          </w:tcPr>
          <w:p w14:paraId="25EFD2F6">
            <w:pPr>
              <w:widowControl w:val="0"/>
              <w:adjustRightInd w:val="0"/>
              <w:snapToGrid w:val="0"/>
              <w:spacing w:line="288" w:lineRule="auto"/>
              <w:jc w:val="center"/>
              <w:textAlignment w:val="baseline"/>
              <w:rPr>
                <w:rFonts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4</w:t>
            </w:r>
          </w:p>
        </w:tc>
        <w:tc>
          <w:tcPr>
            <w:tcW w:w="4582" w:type="pct"/>
            <w:shd w:val="clear" w:color="auto" w:fill="auto"/>
            <w:vAlign w:val="center"/>
          </w:tcPr>
          <w:p w14:paraId="66B30505">
            <w:pPr>
              <w:widowControl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lang w:val="en-US" w:eastAsia="zh-CN" w:bidi="ar-SA"/>
              </w:rPr>
            </w:pPr>
            <w:r>
              <w:rPr>
                <w:rFonts w:hint="eastAsia" w:ascii="宋体" w:hAnsi="宋体" w:cs="宋体"/>
                <w:bCs/>
                <w:snapToGrid w:val="0"/>
                <w:color w:val="auto"/>
                <w:sz w:val="24"/>
                <w:szCs w:val="24"/>
                <w:highlight w:val="none"/>
              </w:rPr>
              <w:t>投标文件的签署及填写符合招标文件的要求</w:t>
            </w:r>
            <w:r>
              <w:rPr>
                <w:rFonts w:hint="eastAsia" w:ascii="宋体" w:hAnsi="宋体" w:cs="宋体"/>
                <w:bCs/>
                <w:snapToGrid w:val="0"/>
                <w:color w:val="auto"/>
                <w:sz w:val="24"/>
                <w:szCs w:val="24"/>
                <w:highlight w:val="none"/>
                <w:lang w:eastAsia="zh-CN"/>
              </w:rPr>
              <w:t>。</w:t>
            </w:r>
          </w:p>
        </w:tc>
      </w:tr>
      <w:tr w14:paraId="6E3B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vAlign w:val="center"/>
          </w:tcPr>
          <w:p w14:paraId="70E1CAE5">
            <w:pPr>
              <w:widowControl w:val="0"/>
              <w:adjustRightInd w:val="0"/>
              <w:snapToGrid w:val="0"/>
              <w:spacing w:line="288" w:lineRule="auto"/>
              <w:jc w:val="center"/>
              <w:textAlignment w:val="baseline"/>
              <w:rPr>
                <w:rFonts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5</w:t>
            </w:r>
          </w:p>
        </w:tc>
        <w:tc>
          <w:tcPr>
            <w:tcW w:w="4582" w:type="pct"/>
            <w:shd w:val="clear" w:color="auto" w:fill="auto"/>
            <w:vAlign w:val="center"/>
          </w:tcPr>
          <w:p w14:paraId="7859E16B">
            <w:pPr>
              <w:widowControl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lang w:val="en-US" w:eastAsia="zh-CN" w:bidi="ar-SA"/>
              </w:rPr>
            </w:pPr>
            <w:r>
              <w:rPr>
                <w:rFonts w:hint="eastAsia" w:ascii="宋体" w:hAnsi="宋体" w:cs="宋体"/>
                <w:bCs/>
                <w:snapToGrid w:val="0"/>
                <w:color w:val="auto"/>
                <w:sz w:val="24"/>
                <w:szCs w:val="24"/>
                <w:highlight w:val="none"/>
                <w:lang w:val="en-US" w:eastAsia="zh-CN"/>
              </w:rPr>
              <w:t>供货时间</w:t>
            </w:r>
            <w:r>
              <w:rPr>
                <w:rFonts w:hint="eastAsia" w:ascii="宋体" w:hAnsi="宋体" w:cs="宋体"/>
                <w:bCs/>
                <w:snapToGrid w:val="0"/>
                <w:color w:val="auto"/>
                <w:sz w:val="24"/>
                <w:szCs w:val="24"/>
                <w:highlight w:val="none"/>
              </w:rPr>
              <w:t>满足招标文件要求</w:t>
            </w:r>
            <w:r>
              <w:rPr>
                <w:rFonts w:hint="eastAsia" w:ascii="宋体" w:hAnsi="宋体" w:cs="宋体"/>
                <w:bCs/>
                <w:snapToGrid w:val="0"/>
                <w:color w:val="auto"/>
                <w:sz w:val="24"/>
                <w:szCs w:val="24"/>
                <w:highlight w:val="none"/>
                <w:lang w:eastAsia="zh-CN"/>
              </w:rPr>
              <w:t>。</w:t>
            </w:r>
          </w:p>
        </w:tc>
      </w:tr>
      <w:tr w14:paraId="1692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vAlign w:val="center"/>
          </w:tcPr>
          <w:p w14:paraId="3BB41429">
            <w:pPr>
              <w:widowControl w:val="0"/>
              <w:adjustRightInd w:val="0"/>
              <w:snapToGrid w:val="0"/>
              <w:spacing w:line="288" w:lineRule="auto"/>
              <w:jc w:val="center"/>
              <w:textAlignment w:val="baseline"/>
              <w:rPr>
                <w:rFonts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6</w:t>
            </w:r>
          </w:p>
        </w:tc>
        <w:tc>
          <w:tcPr>
            <w:tcW w:w="4582" w:type="pct"/>
            <w:tcBorders>
              <w:bottom w:val="single" w:color="auto" w:sz="4" w:space="0"/>
            </w:tcBorders>
            <w:shd w:val="clear" w:color="auto" w:fill="auto"/>
            <w:vAlign w:val="center"/>
          </w:tcPr>
          <w:p w14:paraId="1D860242">
            <w:pPr>
              <w:widowControl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lang w:val="en-US" w:eastAsia="zh-CN" w:bidi="ar-SA"/>
              </w:rPr>
            </w:pPr>
            <w:r>
              <w:rPr>
                <w:rFonts w:hint="eastAsia" w:ascii="宋体" w:hAnsi="宋体" w:cs="宋体"/>
                <w:bCs/>
                <w:snapToGrid w:val="0"/>
                <w:color w:val="auto"/>
                <w:sz w:val="24"/>
                <w:szCs w:val="24"/>
                <w:highlight w:val="none"/>
              </w:rPr>
              <w:t>响应招标文件规定的全部实质性条款</w:t>
            </w:r>
            <w:r>
              <w:rPr>
                <w:rFonts w:hint="eastAsia" w:ascii="宋体" w:hAnsi="宋体" w:cs="宋体"/>
                <w:bCs/>
                <w:snapToGrid w:val="0"/>
                <w:color w:val="auto"/>
                <w:sz w:val="24"/>
                <w:szCs w:val="24"/>
                <w:highlight w:val="none"/>
                <w:lang w:eastAsia="zh-CN"/>
              </w:rPr>
              <w:t>。</w:t>
            </w:r>
          </w:p>
        </w:tc>
      </w:tr>
      <w:tr w14:paraId="44B4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tcBorders>
              <w:bottom w:val="single" w:color="auto" w:sz="4" w:space="0"/>
            </w:tcBorders>
            <w:vAlign w:val="center"/>
          </w:tcPr>
          <w:p w14:paraId="762F661A">
            <w:pPr>
              <w:widowControl w:val="0"/>
              <w:adjustRightInd w:val="0"/>
              <w:snapToGrid w:val="0"/>
              <w:spacing w:line="288" w:lineRule="auto"/>
              <w:jc w:val="center"/>
              <w:textAlignment w:val="baseline"/>
              <w:rPr>
                <w:rFonts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7</w:t>
            </w:r>
          </w:p>
        </w:tc>
        <w:tc>
          <w:tcPr>
            <w:tcW w:w="4582" w:type="pct"/>
            <w:tcBorders>
              <w:bottom w:val="single" w:color="auto" w:sz="4" w:space="0"/>
            </w:tcBorders>
            <w:shd w:val="clear" w:color="auto" w:fill="auto"/>
            <w:vAlign w:val="center"/>
          </w:tcPr>
          <w:p w14:paraId="76164D5F">
            <w:pPr>
              <w:widowControl w:val="0"/>
              <w:adjustRightInd w:val="0"/>
              <w:snapToGrid w:val="0"/>
              <w:spacing w:line="288" w:lineRule="auto"/>
              <w:jc w:val="both"/>
              <w:textAlignment w:val="baseline"/>
              <w:rPr>
                <w:rFonts w:hint="default" w:ascii="宋体" w:hAnsi="宋体" w:eastAsia="宋体" w:cs="宋体"/>
                <w:bCs/>
                <w:snapToGrid w:val="0"/>
                <w:color w:val="auto"/>
                <w:sz w:val="24"/>
                <w:szCs w:val="24"/>
                <w:highlight w:val="none"/>
                <w:lang w:val="en-US" w:eastAsia="zh-CN" w:bidi="ar-SA"/>
              </w:rPr>
            </w:pPr>
            <w:r>
              <w:rPr>
                <w:rFonts w:hint="eastAsia" w:ascii="宋体" w:hAnsi="宋体" w:cs="宋体"/>
                <w:b/>
                <w:bCs w:val="0"/>
                <w:snapToGrid w:val="0"/>
                <w:color w:val="auto"/>
                <w:sz w:val="24"/>
                <w:szCs w:val="24"/>
                <w:highlight w:val="none"/>
                <w:lang w:val="en-US" w:eastAsia="zh-CN"/>
              </w:rPr>
              <w:t>招标文件第四部分采购需求（设备部分）无缺项漏项及负偏离。</w:t>
            </w:r>
          </w:p>
        </w:tc>
      </w:tr>
      <w:tr w14:paraId="664F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vAlign w:val="center"/>
          </w:tcPr>
          <w:p w14:paraId="4327335F">
            <w:pPr>
              <w:widowControl w:val="0"/>
              <w:adjustRightInd w:val="0"/>
              <w:snapToGrid w:val="0"/>
              <w:spacing w:line="288" w:lineRule="auto"/>
              <w:jc w:val="center"/>
              <w:textAlignment w:val="baseline"/>
              <w:rPr>
                <w:rFonts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8</w:t>
            </w:r>
          </w:p>
        </w:tc>
        <w:tc>
          <w:tcPr>
            <w:tcW w:w="4582" w:type="pct"/>
            <w:shd w:val="clear" w:color="auto" w:fill="auto"/>
            <w:vAlign w:val="center"/>
          </w:tcPr>
          <w:p w14:paraId="51CDC11F">
            <w:pPr>
              <w:widowControl w:val="0"/>
              <w:adjustRightInd w:val="0"/>
              <w:snapToGrid w:val="0"/>
              <w:spacing w:line="288" w:lineRule="auto"/>
              <w:jc w:val="both"/>
              <w:textAlignment w:val="baseline"/>
              <w:rPr>
                <w:rFonts w:hint="default" w:ascii="宋体" w:hAnsi="宋体" w:eastAsia="宋体" w:cs="宋体"/>
                <w:bCs/>
                <w:snapToGrid w:val="0"/>
                <w:color w:val="auto"/>
                <w:sz w:val="24"/>
                <w:szCs w:val="24"/>
                <w:highlight w:val="none"/>
                <w:lang w:val="en-US" w:eastAsia="zh-CN" w:bidi="ar-SA"/>
              </w:rPr>
            </w:pPr>
            <w:r>
              <w:rPr>
                <w:rFonts w:hint="eastAsia" w:ascii="宋体" w:hAnsi="宋体" w:cs="宋体"/>
                <w:bCs/>
                <w:snapToGrid w:val="0"/>
                <w:color w:val="auto"/>
                <w:sz w:val="24"/>
                <w:szCs w:val="24"/>
                <w:highlight w:val="none"/>
              </w:rPr>
              <w:t>招标文件规定的其他内容</w:t>
            </w:r>
            <w:r>
              <w:rPr>
                <w:rFonts w:hint="eastAsia" w:ascii="宋体" w:hAnsi="宋体" w:cs="宋体"/>
                <w:bCs/>
                <w:snapToGrid w:val="0"/>
                <w:color w:val="auto"/>
                <w:sz w:val="24"/>
                <w:szCs w:val="24"/>
                <w:highlight w:val="none"/>
                <w:lang w:val="en-US" w:eastAsia="zh-CN"/>
              </w:rPr>
              <w:t>。</w:t>
            </w:r>
            <w:bookmarkStart w:id="79" w:name="_GoBack"/>
            <w:bookmarkEnd w:id="79"/>
          </w:p>
        </w:tc>
      </w:tr>
    </w:tbl>
    <w:p w14:paraId="1357634B">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14:paraId="07CB430E">
      <w:pPr>
        <w:rPr>
          <w:color w:val="auto"/>
          <w:highlight w:val="none"/>
        </w:rPr>
      </w:pPr>
      <w:r>
        <w:rPr>
          <w:rFonts w:hint="eastAsia" w:ascii="宋体" w:hAnsi="宋体" w:cs="宋体"/>
          <w:b/>
          <w:bCs/>
          <w:color w:val="auto"/>
          <w:sz w:val="24"/>
          <w:szCs w:val="24"/>
          <w:highlight w:val="none"/>
          <w:lang w:bidi="ar"/>
        </w:rPr>
        <w:t>注：上述表中任何一项不合格，审查结论为“不合格”，不进入价格比较。</w:t>
      </w:r>
    </w:p>
    <w:p w14:paraId="1F3169A8">
      <w:pPr>
        <w:autoSpaceDE w:val="0"/>
        <w:autoSpaceDN w:val="0"/>
        <w:adjustRightInd w:val="0"/>
        <w:ind w:firstLine="300" w:firstLineChars="150"/>
        <w:jc w:val="left"/>
        <w:rPr>
          <w:rFonts w:hint="eastAsia" w:ascii="宋体" w:hAnsi="宋体" w:cs="宋体"/>
          <w:b/>
          <w:bCs/>
          <w:color w:val="auto"/>
          <w:sz w:val="32"/>
          <w:highlight w:val="none"/>
        </w:rPr>
      </w:pPr>
      <w:r>
        <w:rPr>
          <w:rFonts w:hint="eastAsia" w:ascii="宋体" w:hAnsi="宋体" w:cs="宋体"/>
          <w:color w:val="auto"/>
          <w:highlight w:val="none"/>
        </w:rPr>
        <w:br w:type="page"/>
      </w:r>
      <w:r>
        <w:rPr>
          <w:rFonts w:hint="eastAsia" w:ascii="宋体" w:hAnsi="宋体" w:eastAsia="宋体" w:cs="宋体"/>
          <w:b/>
          <w:color w:val="auto"/>
          <w:sz w:val="24"/>
          <w:szCs w:val="24"/>
          <w:highlight w:val="yellow"/>
          <w:lang w:eastAsia="zh-CN"/>
        </w:rPr>
        <w:t>（</w:t>
      </w:r>
      <w:r>
        <w:rPr>
          <w:rFonts w:hint="eastAsia" w:ascii="宋体" w:hAnsi="宋体" w:eastAsia="宋体" w:cs="宋体"/>
          <w:b/>
          <w:color w:val="auto"/>
          <w:sz w:val="24"/>
          <w:szCs w:val="24"/>
          <w:highlight w:val="yellow"/>
          <w:lang w:val="en-US" w:eastAsia="zh-CN"/>
        </w:rPr>
        <w:t>三）</w:t>
      </w:r>
      <w:r>
        <w:rPr>
          <w:rFonts w:hint="eastAsia" w:ascii="宋体" w:hAnsi="宋体" w:eastAsia="宋体" w:cs="宋体"/>
          <w:b/>
          <w:color w:val="auto"/>
          <w:sz w:val="24"/>
          <w:szCs w:val="24"/>
          <w:highlight w:val="yellow"/>
        </w:rPr>
        <w:t>详细评审</w:t>
      </w:r>
    </w:p>
    <w:tbl>
      <w:tblPr>
        <w:tblStyle w:val="43"/>
        <w:tblW w:w="94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1"/>
        <w:gridCol w:w="1409"/>
        <w:gridCol w:w="6359"/>
      </w:tblGrid>
      <w:tr w14:paraId="1DEDD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060" w:type="dxa"/>
            <w:gridSpan w:val="2"/>
            <w:noWrap w:val="0"/>
            <w:vAlign w:val="top"/>
          </w:tcPr>
          <w:p w14:paraId="05EEB386">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条款内容</w:t>
            </w:r>
          </w:p>
        </w:tc>
        <w:tc>
          <w:tcPr>
            <w:tcW w:w="6359" w:type="dxa"/>
            <w:noWrap w:val="0"/>
            <w:vAlign w:val="top"/>
          </w:tcPr>
          <w:p w14:paraId="2044A656">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编列内容</w:t>
            </w:r>
          </w:p>
        </w:tc>
      </w:tr>
      <w:tr w14:paraId="5F29F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060" w:type="dxa"/>
            <w:gridSpan w:val="2"/>
            <w:noWrap w:val="0"/>
            <w:vAlign w:val="center"/>
          </w:tcPr>
          <w:p w14:paraId="40878F05">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分值构成</w:t>
            </w:r>
          </w:p>
          <w:p w14:paraId="63401C73">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(总分 100 分)</w:t>
            </w:r>
          </w:p>
        </w:tc>
        <w:tc>
          <w:tcPr>
            <w:tcW w:w="6359" w:type="dxa"/>
            <w:noWrap w:val="0"/>
            <w:vAlign w:val="top"/>
          </w:tcPr>
          <w:p w14:paraId="60064461">
            <w:pPr>
              <w:tabs>
                <w:tab w:val="left" w:pos="304"/>
              </w:tabs>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商务部分：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14:paraId="6102ED93">
            <w:pPr>
              <w:tabs>
                <w:tab w:val="left" w:pos="304"/>
              </w:tabs>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技术部分：</w:t>
            </w: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分</w:t>
            </w:r>
          </w:p>
          <w:p w14:paraId="3A92751C">
            <w:pPr>
              <w:tabs>
                <w:tab w:val="left" w:pos="304"/>
              </w:tabs>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r>
      <w:tr w14:paraId="13107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1651" w:type="dxa"/>
            <w:noWrap w:val="0"/>
            <w:vAlign w:val="center"/>
          </w:tcPr>
          <w:p w14:paraId="5E7487B7">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条款号</w:t>
            </w:r>
          </w:p>
        </w:tc>
        <w:tc>
          <w:tcPr>
            <w:tcW w:w="1409" w:type="dxa"/>
            <w:noWrap w:val="0"/>
            <w:vAlign w:val="center"/>
          </w:tcPr>
          <w:p w14:paraId="3D7FAFEB">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评分因素</w:t>
            </w:r>
          </w:p>
        </w:tc>
        <w:tc>
          <w:tcPr>
            <w:tcW w:w="6359" w:type="dxa"/>
            <w:noWrap w:val="0"/>
            <w:vAlign w:val="center"/>
          </w:tcPr>
          <w:p w14:paraId="09ECA2BD">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tc>
      </w:tr>
      <w:tr w14:paraId="55C5D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3060" w:type="dxa"/>
            <w:gridSpan w:val="2"/>
            <w:noWrap w:val="0"/>
            <w:vAlign w:val="center"/>
          </w:tcPr>
          <w:p w14:paraId="22F922A8">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p>
          <w:p w14:paraId="772DF8B0">
            <w:pPr>
              <w:tabs>
                <w:tab w:val="left" w:pos="304"/>
              </w:tabs>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6359" w:type="dxa"/>
            <w:shd w:val="clear" w:color="auto" w:fill="auto"/>
            <w:noWrap w:val="0"/>
            <w:vAlign w:val="center"/>
          </w:tcPr>
          <w:p w14:paraId="6E3AC788">
            <w:pPr>
              <w:tabs>
                <w:tab w:val="left" w:pos="304"/>
              </w:tabs>
              <w:adjustRightInd w:val="0"/>
              <w:snapToGrid w:val="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rPr>
              <w:t>用低价优先法计算，即</w:t>
            </w:r>
            <w:r>
              <w:rPr>
                <w:rFonts w:hint="eastAsia" w:ascii="宋体" w:hAnsi="宋体" w:eastAsia="宋体" w:cs="宋体"/>
                <w:color w:val="auto"/>
                <w:sz w:val="24"/>
                <w:szCs w:val="24"/>
                <w:highlight w:val="none"/>
                <w:lang w:val="zh-CN"/>
              </w:rPr>
              <w:t>以按照招标文件规定修正后的所有合格投标人的评标价的最低价作为评分基准价。投标人的价格分按下式计算：价格分=（评分基准价/评标价）×</w:t>
            </w:r>
            <w:r>
              <w:rPr>
                <w:rFonts w:hint="eastAsia" w:ascii="宋体" w:hAnsi="宋体" w:eastAsia="宋体" w:cs="宋体"/>
                <w:color w:val="auto"/>
                <w:sz w:val="24"/>
                <w:szCs w:val="24"/>
                <w:highlight w:val="none"/>
                <w:lang w:val="en-US" w:eastAsia="zh-CN"/>
              </w:rPr>
              <w:t>30</w:t>
            </w:r>
          </w:p>
        </w:tc>
      </w:tr>
      <w:tr w14:paraId="23FFC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jc w:val="center"/>
        </w:trPr>
        <w:tc>
          <w:tcPr>
            <w:tcW w:w="1651" w:type="dxa"/>
            <w:tcBorders>
              <w:bottom w:val="single" w:color="auto" w:sz="4" w:space="0"/>
            </w:tcBorders>
            <w:noWrap w:val="0"/>
            <w:vAlign w:val="center"/>
          </w:tcPr>
          <w:p w14:paraId="578D1588">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商务部分</w:t>
            </w:r>
          </w:p>
          <w:p w14:paraId="7FE4F3F0">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1409" w:type="dxa"/>
            <w:noWrap w:val="0"/>
            <w:vAlign w:val="center"/>
          </w:tcPr>
          <w:p w14:paraId="1AF4FE5F">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项目业绩</w:t>
            </w:r>
          </w:p>
          <w:p w14:paraId="1DCF2649">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6359" w:type="dxa"/>
            <w:noWrap w:val="0"/>
            <w:vAlign w:val="center"/>
          </w:tcPr>
          <w:p w14:paraId="477002A0">
            <w:pPr>
              <w:spacing w:line="240" w:lineRule="auto"/>
              <w:ind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zh-CN" w:eastAsia="zh-CN"/>
              </w:rPr>
              <w:t>投标人须提供近年(</w:t>
            </w:r>
            <w:r>
              <w:rPr>
                <w:rFonts w:hint="eastAsia" w:ascii="宋体" w:hAnsi="宋体" w:eastAsia="宋体" w:cs="宋体"/>
                <w:sz w:val="24"/>
                <w:szCs w:val="24"/>
                <w:highlight w:val="none"/>
                <w:lang w:eastAsia="zh-CN"/>
              </w:rPr>
              <w:t>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lang w:eastAsia="zh-CN"/>
              </w:rPr>
              <w:t>年至今）</w:t>
            </w:r>
            <w:r>
              <w:rPr>
                <w:rFonts w:hint="eastAsia" w:ascii="宋体" w:hAnsi="宋体" w:eastAsia="宋体" w:cs="宋体"/>
                <w:sz w:val="24"/>
                <w:szCs w:val="24"/>
                <w:highlight w:val="none"/>
                <w:lang w:val="zh-CN" w:eastAsia="zh-CN"/>
              </w:rPr>
              <w:t>类似业绩，每有一项得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分，满分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分。</w:t>
            </w:r>
          </w:p>
          <w:p w14:paraId="321427B9">
            <w:pPr>
              <w:tabs>
                <w:tab w:val="left" w:pos="304"/>
              </w:tabs>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注:标书内须提供相关证明材料（中标通知书或合同协议书复印件)</w:t>
            </w:r>
            <w:r>
              <w:rPr>
                <w:rFonts w:hint="eastAsia" w:ascii="宋体" w:hAnsi="宋体" w:eastAsia="宋体" w:cs="宋体"/>
                <w:sz w:val="24"/>
                <w:szCs w:val="24"/>
                <w:highlight w:val="none"/>
                <w:lang w:val="en-US" w:eastAsia="zh-CN"/>
              </w:rPr>
              <w:t>。</w:t>
            </w:r>
          </w:p>
        </w:tc>
      </w:tr>
      <w:tr w14:paraId="32F6E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jc w:val="center"/>
        </w:trPr>
        <w:tc>
          <w:tcPr>
            <w:tcW w:w="1651" w:type="dxa"/>
            <w:vMerge w:val="restart"/>
            <w:tcBorders>
              <w:top w:val="single" w:color="auto" w:sz="4" w:space="0"/>
            </w:tcBorders>
            <w:noWrap w:val="0"/>
            <w:vAlign w:val="center"/>
          </w:tcPr>
          <w:p w14:paraId="5441F558">
            <w:pPr>
              <w:tabs>
                <w:tab w:val="left" w:pos="304"/>
              </w:tabs>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技术部分</w:t>
            </w:r>
          </w:p>
          <w:p w14:paraId="78147B2F">
            <w:pPr>
              <w:tabs>
                <w:tab w:val="left" w:pos="304"/>
              </w:tabs>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（60分）</w:t>
            </w:r>
          </w:p>
        </w:tc>
        <w:tc>
          <w:tcPr>
            <w:tcW w:w="1409" w:type="dxa"/>
            <w:noWrap w:val="0"/>
            <w:vAlign w:val="center"/>
          </w:tcPr>
          <w:p w14:paraId="02E7A32E">
            <w:pPr>
              <w:spacing w:line="24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供货</w:t>
            </w:r>
          </w:p>
          <w:p w14:paraId="5A13448E">
            <w:pPr>
              <w:tabs>
                <w:tab w:val="left" w:pos="304"/>
              </w:tabs>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w:t>
            </w:r>
          </w:p>
          <w:p w14:paraId="7E14D50A">
            <w:pPr>
              <w:tabs>
                <w:tab w:val="left" w:pos="304"/>
              </w:tabs>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tc>
        <w:tc>
          <w:tcPr>
            <w:tcW w:w="6359" w:type="dxa"/>
            <w:shd w:val="clear" w:color="auto" w:fill="auto"/>
            <w:noWrap w:val="0"/>
            <w:vAlign w:val="center"/>
          </w:tcPr>
          <w:p w14:paraId="4816C0B1">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供应商</w:t>
            </w:r>
            <w:r>
              <w:rPr>
                <w:rFonts w:hint="eastAsia" w:ascii="宋体" w:hAnsi="宋体" w:eastAsia="宋体" w:cs="宋体"/>
                <w:b w:val="0"/>
                <w:bCs w:val="0"/>
                <w:sz w:val="24"/>
                <w:szCs w:val="24"/>
                <w:highlight w:val="none"/>
                <w:lang w:val="en-US" w:eastAsia="zh-CN"/>
              </w:rPr>
              <w:t xml:space="preserve">针对本项目提供供货方案包含但不限于以下几个方面： </w:t>
            </w:r>
          </w:p>
          <w:p w14:paraId="1D5A4B4A">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1、货物保障；</w:t>
            </w:r>
          </w:p>
          <w:p w14:paraId="05442361">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2、货物检验及方法；</w:t>
            </w:r>
          </w:p>
          <w:p w14:paraId="3123BC4B">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3、供货人员配置；</w:t>
            </w:r>
          </w:p>
          <w:p w14:paraId="420E99E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4、供货计划；</w:t>
            </w:r>
          </w:p>
          <w:p w14:paraId="270F0487">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5、全流程监管机制</w:t>
            </w:r>
          </w:p>
          <w:p w14:paraId="7D599880">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b w:val="0"/>
                <w:bCs w:val="0"/>
                <w:sz w:val="24"/>
                <w:szCs w:val="24"/>
                <w:highlight w:val="none"/>
                <w:lang w:val="en-US" w:eastAsia="zh-CN"/>
              </w:rPr>
              <w:t>以上5项内容</w:t>
            </w:r>
            <w:r>
              <w:rPr>
                <w:rFonts w:ascii="宋体" w:hAnsi="宋体" w:eastAsia="宋体" w:cs="宋体"/>
                <w:sz w:val="24"/>
                <w:szCs w:val="24"/>
              </w:rPr>
              <w:t>每满足上述一项内容得2分，最多得</w:t>
            </w:r>
            <w:r>
              <w:rPr>
                <w:rFonts w:hint="eastAsia" w:ascii="宋体" w:hAnsi="宋体" w:eastAsia="宋体" w:cs="宋体"/>
                <w:sz w:val="24"/>
                <w:szCs w:val="24"/>
                <w:lang w:val="en-US" w:eastAsia="zh-CN"/>
              </w:rPr>
              <w:t>10</w:t>
            </w:r>
            <w:r>
              <w:rPr>
                <w:rFonts w:ascii="宋体" w:hAnsi="宋体" w:eastAsia="宋体" w:cs="宋体"/>
                <w:sz w:val="24"/>
                <w:szCs w:val="24"/>
              </w:rPr>
              <w:t>分，未 提供方案或方案内容存在缺陷或不足不得分。方案内容存在缺陷或不足是指以下任意一种情形：方案内容不切合行业实际、不符合国家法规政策，或前后逻辑错误，与实际情况不符，存在偏差，或存在与项目无关的文字内容，或简单复制招标文件，或内容逻辑漏洞或原理错误。</w:t>
            </w:r>
          </w:p>
        </w:tc>
      </w:tr>
      <w:tr w14:paraId="5E948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651" w:type="dxa"/>
            <w:vMerge w:val="continue"/>
            <w:noWrap w:val="0"/>
            <w:vAlign w:val="top"/>
          </w:tcPr>
          <w:p w14:paraId="3DD12121">
            <w:pPr>
              <w:tabs>
                <w:tab w:val="left" w:pos="304"/>
              </w:tabs>
              <w:adjustRightInd w:val="0"/>
              <w:snapToGrid w:val="0"/>
              <w:jc w:val="center"/>
              <w:rPr>
                <w:rFonts w:hint="eastAsia" w:ascii="宋体" w:hAnsi="宋体" w:eastAsia="宋体" w:cs="宋体"/>
                <w:sz w:val="24"/>
                <w:szCs w:val="24"/>
                <w:highlight w:val="none"/>
                <w:lang w:val="en-US" w:eastAsia="zh-CN"/>
              </w:rPr>
            </w:pPr>
          </w:p>
        </w:tc>
        <w:tc>
          <w:tcPr>
            <w:tcW w:w="1409" w:type="dxa"/>
            <w:noWrap w:val="0"/>
            <w:vAlign w:val="center"/>
          </w:tcPr>
          <w:p w14:paraId="7FF847A5">
            <w:pPr>
              <w:tabs>
                <w:tab w:val="left" w:pos="304"/>
              </w:tabs>
              <w:adjustRightInd w:val="0"/>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质量保证措施方案</w:t>
            </w:r>
          </w:p>
          <w:p w14:paraId="05DB8779">
            <w:pPr>
              <w:tabs>
                <w:tab w:val="left" w:pos="304"/>
              </w:tabs>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tc>
        <w:tc>
          <w:tcPr>
            <w:tcW w:w="6359" w:type="dxa"/>
            <w:shd w:val="clear" w:color="auto" w:fill="auto"/>
            <w:noWrap w:val="0"/>
            <w:vAlign w:val="center"/>
          </w:tcPr>
          <w:p w14:paraId="0AEA424B">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供应商</w:t>
            </w:r>
            <w:r>
              <w:rPr>
                <w:rFonts w:hint="eastAsia" w:ascii="宋体" w:hAnsi="宋体" w:eastAsia="宋体" w:cs="宋体"/>
                <w:b w:val="0"/>
                <w:bCs w:val="0"/>
                <w:sz w:val="24"/>
                <w:szCs w:val="24"/>
                <w:highlight w:val="none"/>
                <w:lang w:val="en-US" w:eastAsia="zh-CN"/>
              </w:rPr>
              <w:t>针对于本项目制定相应的产品质量保证措施方案,包含但不限于以下几个方面：</w:t>
            </w:r>
          </w:p>
          <w:p w14:paraId="1B82CFB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1、质量保障措施；</w:t>
            </w:r>
          </w:p>
          <w:p w14:paraId="710D8A5A">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2、质量方针及目标；</w:t>
            </w:r>
          </w:p>
          <w:p w14:paraId="436A4492">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3、质量标准及技术响应；</w:t>
            </w:r>
          </w:p>
          <w:p w14:paraId="75BA8F9D">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4、质量保证依据；</w:t>
            </w:r>
          </w:p>
          <w:p w14:paraId="46AE8BD4">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5、质量保证原则， </w:t>
            </w:r>
          </w:p>
          <w:p w14:paraId="5F138F9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b w:val="0"/>
                <w:bCs w:val="0"/>
                <w:sz w:val="24"/>
                <w:szCs w:val="24"/>
                <w:highlight w:val="none"/>
                <w:lang w:val="en-US" w:eastAsia="zh-CN"/>
              </w:rPr>
              <w:t>以上5项内容</w:t>
            </w:r>
            <w:r>
              <w:rPr>
                <w:rFonts w:ascii="宋体" w:hAnsi="宋体" w:eastAsia="宋体" w:cs="宋体"/>
                <w:sz w:val="24"/>
                <w:szCs w:val="24"/>
              </w:rPr>
              <w:t>每满足上述一项内容得2分，最多得</w:t>
            </w:r>
            <w:r>
              <w:rPr>
                <w:rFonts w:hint="eastAsia" w:ascii="宋体" w:hAnsi="宋体" w:eastAsia="宋体" w:cs="宋体"/>
                <w:sz w:val="24"/>
                <w:szCs w:val="24"/>
                <w:lang w:val="en-US" w:eastAsia="zh-CN"/>
              </w:rPr>
              <w:t>10</w:t>
            </w:r>
            <w:r>
              <w:rPr>
                <w:rFonts w:ascii="宋体" w:hAnsi="宋体" w:eastAsia="宋体" w:cs="宋体"/>
                <w:sz w:val="24"/>
                <w:szCs w:val="24"/>
              </w:rPr>
              <w:t>分，未 提供方案或方案内容存在缺陷或不足不得分。方案内容存在缺陷或不足是指以下任意一种情形：方案内容不切合行业实际、不符合国家法规政策，或前后逻辑错误，与实际情况不符，存在偏差，或存在与项目无关的文字内容，或简单复制招标文件，或内容逻辑漏洞或原理错误。</w:t>
            </w:r>
          </w:p>
        </w:tc>
      </w:tr>
      <w:tr w14:paraId="0E3B1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651" w:type="dxa"/>
            <w:vMerge w:val="continue"/>
            <w:noWrap w:val="0"/>
            <w:vAlign w:val="top"/>
          </w:tcPr>
          <w:p w14:paraId="5077C892">
            <w:pPr>
              <w:tabs>
                <w:tab w:val="left" w:pos="304"/>
              </w:tabs>
              <w:adjustRightInd w:val="0"/>
              <w:snapToGrid w:val="0"/>
              <w:jc w:val="center"/>
              <w:rPr>
                <w:rFonts w:hint="eastAsia" w:ascii="宋体" w:hAnsi="宋体" w:eastAsia="宋体" w:cs="宋体"/>
                <w:sz w:val="24"/>
                <w:szCs w:val="24"/>
                <w:highlight w:val="none"/>
                <w:lang w:val="en-US" w:eastAsia="zh-CN"/>
              </w:rPr>
            </w:pPr>
          </w:p>
        </w:tc>
        <w:tc>
          <w:tcPr>
            <w:tcW w:w="1409" w:type="dxa"/>
            <w:noWrap w:val="0"/>
            <w:vAlign w:val="center"/>
          </w:tcPr>
          <w:p w14:paraId="6B9BF282">
            <w:pPr>
              <w:spacing w:line="24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运输</w:t>
            </w:r>
          </w:p>
          <w:p w14:paraId="5E4E876F">
            <w:pPr>
              <w:tabs>
                <w:tab w:val="left" w:pos="304"/>
              </w:tabs>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w:t>
            </w:r>
          </w:p>
          <w:p w14:paraId="3E1828B8">
            <w:pPr>
              <w:tabs>
                <w:tab w:val="left" w:pos="304"/>
              </w:tabs>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tc>
        <w:tc>
          <w:tcPr>
            <w:tcW w:w="6359" w:type="dxa"/>
            <w:shd w:val="clear" w:color="auto" w:fill="auto"/>
            <w:noWrap w:val="0"/>
            <w:vAlign w:val="center"/>
          </w:tcPr>
          <w:p w14:paraId="1BEB6148">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供应商针对于本项目</w:t>
            </w:r>
            <w:r>
              <w:rPr>
                <w:rFonts w:hint="eastAsia" w:ascii="宋体" w:hAnsi="宋体" w:eastAsia="宋体" w:cs="宋体"/>
                <w:b w:val="0"/>
                <w:bCs w:val="0"/>
                <w:sz w:val="24"/>
                <w:szCs w:val="24"/>
                <w:highlight w:val="none"/>
                <w:lang w:val="en-US" w:eastAsia="en-US"/>
              </w:rPr>
              <w:t>编制切实可行的配送</w:t>
            </w:r>
            <w:r>
              <w:rPr>
                <w:rFonts w:hint="eastAsia" w:ascii="宋体" w:hAnsi="宋体" w:eastAsia="宋体" w:cs="宋体"/>
                <w:b w:val="0"/>
                <w:bCs w:val="0"/>
                <w:sz w:val="24"/>
                <w:szCs w:val="24"/>
                <w:highlight w:val="none"/>
                <w:lang w:val="en-US" w:eastAsia="zh-CN"/>
              </w:rPr>
              <w:t>运输</w:t>
            </w:r>
            <w:r>
              <w:rPr>
                <w:rFonts w:hint="eastAsia" w:ascii="宋体" w:hAnsi="宋体" w:eastAsia="宋体" w:cs="宋体"/>
                <w:b w:val="0"/>
                <w:bCs w:val="0"/>
                <w:sz w:val="24"/>
                <w:szCs w:val="24"/>
                <w:highlight w:val="none"/>
                <w:lang w:val="en-US" w:eastAsia="en-US"/>
              </w:rPr>
              <w:t>方案，</w:t>
            </w:r>
            <w:r>
              <w:rPr>
                <w:rFonts w:hint="eastAsia" w:ascii="宋体" w:hAnsi="宋体" w:eastAsia="宋体" w:cs="宋体"/>
                <w:b w:val="0"/>
                <w:bCs w:val="0"/>
                <w:sz w:val="24"/>
                <w:szCs w:val="24"/>
                <w:highlight w:val="none"/>
                <w:lang w:val="en-US" w:eastAsia="zh-CN"/>
              </w:rPr>
              <w:t>保证货物的安全抵达，包含但不限于以下几个方面：</w:t>
            </w:r>
          </w:p>
          <w:p w14:paraId="5C58D220">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en-US"/>
              </w:rPr>
              <w:t>运输车辆配备</w:t>
            </w:r>
            <w:r>
              <w:rPr>
                <w:rFonts w:hint="eastAsia" w:ascii="宋体" w:hAnsi="宋体" w:eastAsia="宋体" w:cs="宋体"/>
                <w:b w:val="0"/>
                <w:bCs w:val="0"/>
                <w:sz w:val="24"/>
                <w:szCs w:val="24"/>
                <w:highlight w:val="none"/>
                <w:lang w:val="en-US" w:eastAsia="zh-CN"/>
              </w:rPr>
              <w:t>；</w:t>
            </w:r>
          </w:p>
          <w:p w14:paraId="62CF65D1">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2、运行安全控制；</w:t>
            </w:r>
          </w:p>
          <w:p w14:paraId="103834F0">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3、运输安全保障控制；</w:t>
            </w:r>
          </w:p>
          <w:p w14:paraId="52AD76D9">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4、技术安全措施；</w:t>
            </w:r>
          </w:p>
          <w:p w14:paraId="76349B50">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en-US"/>
              </w:rPr>
            </w:pPr>
            <w:r>
              <w:rPr>
                <w:rFonts w:hint="eastAsia" w:ascii="宋体" w:hAnsi="宋体" w:eastAsia="宋体" w:cs="宋体"/>
                <w:b w:val="0"/>
                <w:bCs w:val="0"/>
                <w:sz w:val="24"/>
                <w:szCs w:val="24"/>
                <w:highlight w:val="none"/>
                <w:lang w:val="en-US" w:eastAsia="zh-CN"/>
              </w:rPr>
              <w:t>5、运输应急预案及处理</w:t>
            </w:r>
            <w:r>
              <w:rPr>
                <w:rFonts w:hint="eastAsia" w:ascii="宋体" w:hAnsi="宋体" w:eastAsia="宋体" w:cs="宋体"/>
                <w:b w:val="0"/>
                <w:bCs w:val="0"/>
                <w:sz w:val="24"/>
                <w:szCs w:val="24"/>
                <w:highlight w:val="none"/>
                <w:lang w:val="en-US" w:eastAsia="en-US"/>
              </w:rPr>
              <w:t>。</w:t>
            </w:r>
          </w:p>
          <w:p w14:paraId="15C80051">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sz w:val="24"/>
                <w:szCs w:val="24"/>
                <w:highlight w:val="none"/>
                <w:lang w:val="en-US" w:eastAsia="zh-CN"/>
              </w:rPr>
              <w:t>以上5项内容</w:t>
            </w:r>
            <w:r>
              <w:rPr>
                <w:rFonts w:ascii="宋体" w:hAnsi="宋体" w:eastAsia="宋体" w:cs="宋体"/>
                <w:sz w:val="24"/>
                <w:szCs w:val="24"/>
              </w:rPr>
              <w:t>每满足上述一项内容得2分，最多得</w:t>
            </w:r>
            <w:r>
              <w:rPr>
                <w:rFonts w:hint="eastAsia" w:ascii="宋体" w:hAnsi="宋体" w:eastAsia="宋体" w:cs="宋体"/>
                <w:sz w:val="24"/>
                <w:szCs w:val="24"/>
                <w:lang w:val="en-US" w:eastAsia="zh-CN"/>
              </w:rPr>
              <w:t>10</w:t>
            </w:r>
            <w:r>
              <w:rPr>
                <w:rFonts w:ascii="宋体" w:hAnsi="宋体" w:eastAsia="宋体" w:cs="宋体"/>
                <w:sz w:val="24"/>
                <w:szCs w:val="24"/>
              </w:rPr>
              <w:t>分，未 提供方案或方案内容存在缺陷或不足不得分。方案内容存在缺陷或不足是指以下任意一种情形：方案内容不切合行业实际、不符合国家法规政策，或前后逻辑错误，与实际情况不符，存在偏差，或存在与项目无关的文字内容，或简单复制招标文件，或内容逻辑漏洞或原理错误。</w:t>
            </w:r>
          </w:p>
        </w:tc>
      </w:tr>
      <w:tr w14:paraId="7976D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651" w:type="dxa"/>
            <w:vMerge w:val="continue"/>
            <w:noWrap w:val="0"/>
            <w:vAlign w:val="top"/>
          </w:tcPr>
          <w:p w14:paraId="4B2C1F06">
            <w:pPr>
              <w:tabs>
                <w:tab w:val="left" w:pos="304"/>
              </w:tabs>
              <w:adjustRightInd w:val="0"/>
              <w:snapToGrid w:val="0"/>
              <w:jc w:val="center"/>
              <w:rPr>
                <w:rFonts w:hint="eastAsia" w:ascii="宋体" w:hAnsi="宋体" w:eastAsia="宋体" w:cs="宋体"/>
                <w:sz w:val="24"/>
                <w:szCs w:val="24"/>
                <w:highlight w:val="none"/>
              </w:rPr>
            </w:pPr>
          </w:p>
        </w:tc>
        <w:tc>
          <w:tcPr>
            <w:tcW w:w="1409" w:type="dxa"/>
            <w:noWrap w:val="0"/>
            <w:vAlign w:val="center"/>
          </w:tcPr>
          <w:p w14:paraId="7CD25741">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安装调试、运行、验收方案</w:t>
            </w:r>
          </w:p>
          <w:p w14:paraId="1D68C4F2">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（8分）</w:t>
            </w:r>
          </w:p>
        </w:tc>
        <w:tc>
          <w:tcPr>
            <w:tcW w:w="6359" w:type="dxa"/>
            <w:noWrap w:val="0"/>
            <w:vAlign w:val="center"/>
          </w:tcPr>
          <w:p w14:paraId="78BDE652">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针对本项目提供安装调试方案包含： </w:t>
            </w:r>
          </w:p>
          <w:p w14:paraId="0A45B7AC">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1.开箱验收方案；</w:t>
            </w:r>
          </w:p>
          <w:p w14:paraId="49A79D21">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2.产品安装调试方案；</w:t>
            </w:r>
          </w:p>
          <w:p w14:paraId="09CA6F38">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3.产品试运转使用方案</w:t>
            </w:r>
            <w:r>
              <w:rPr>
                <w:rFonts w:hint="eastAsia" w:ascii="宋体" w:hAnsi="宋体" w:cs="宋体"/>
                <w:b w:val="0"/>
                <w:bCs w:val="0"/>
                <w:sz w:val="24"/>
                <w:szCs w:val="24"/>
                <w:highlight w:val="none"/>
                <w:lang w:val="en-US" w:eastAsia="zh-CN"/>
              </w:rPr>
              <w:t>；</w:t>
            </w:r>
          </w:p>
          <w:p w14:paraId="613983E8">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4.安装人员配置</w:t>
            </w:r>
            <w:r>
              <w:rPr>
                <w:rFonts w:hint="eastAsia" w:ascii="宋体" w:hAnsi="宋体" w:cs="宋体"/>
                <w:b w:val="0"/>
                <w:bCs w:val="0"/>
                <w:sz w:val="24"/>
                <w:szCs w:val="24"/>
                <w:highlight w:val="none"/>
                <w:lang w:val="en-US" w:eastAsia="zh-CN"/>
              </w:rPr>
              <w:t>；</w:t>
            </w:r>
          </w:p>
          <w:p w14:paraId="164AB494">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以上</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项内容</w:t>
            </w:r>
            <w:r>
              <w:rPr>
                <w:rFonts w:ascii="宋体" w:hAnsi="宋体" w:eastAsia="宋体" w:cs="宋体"/>
                <w:sz w:val="24"/>
                <w:szCs w:val="24"/>
              </w:rPr>
              <w:t>每满足上述一项内容得2分，最多得</w:t>
            </w:r>
            <w:r>
              <w:rPr>
                <w:rFonts w:hint="eastAsia" w:ascii="宋体" w:hAnsi="宋体" w:cs="宋体"/>
                <w:sz w:val="24"/>
                <w:szCs w:val="24"/>
                <w:lang w:val="en-US" w:eastAsia="zh-CN"/>
              </w:rPr>
              <w:t>8</w:t>
            </w:r>
            <w:r>
              <w:rPr>
                <w:rFonts w:ascii="宋体" w:hAnsi="宋体" w:eastAsia="宋体" w:cs="宋体"/>
                <w:sz w:val="24"/>
                <w:szCs w:val="24"/>
              </w:rPr>
              <w:t>分，未 提供方案或方案内容存在缺陷或不足不得分。方案内容存在缺陷或不足是指以下任意一种情形：方案内容不切合行业实际、不符合国家法规政策，或前后逻辑错误，与实际情况不符，存在偏差，或存在与项目无关的文字内容，或简单复制招标文件，或内容逻辑漏洞或原理错误。</w:t>
            </w:r>
          </w:p>
        </w:tc>
      </w:tr>
      <w:tr w14:paraId="7B710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651" w:type="dxa"/>
            <w:vMerge w:val="continue"/>
            <w:noWrap w:val="0"/>
            <w:vAlign w:val="top"/>
          </w:tcPr>
          <w:p w14:paraId="4D7D64B5">
            <w:pPr>
              <w:tabs>
                <w:tab w:val="left" w:pos="304"/>
              </w:tabs>
              <w:adjustRightInd w:val="0"/>
              <w:snapToGrid w:val="0"/>
              <w:jc w:val="center"/>
              <w:rPr>
                <w:rFonts w:hint="eastAsia" w:ascii="宋体" w:hAnsi="宋体" w:eastAsia="宋体" w:cs="宋体"/>
                <w:sz w:val="24"/>
                <w:szCs w:val="24"/>
                <w:highlight w:val="none"/>
              </w:rPr>
            </w:pPr>
          </w:p>
        </w:tc>
        <w:tc>
          <w:tcPr>
            <w:tcW w:w="1409" w:type="dxa"/>
            <w:shd w:val="clear" w:color="auto" w:fill="auto"/>
            <w:noWrap w:val="0"/>
            <w:vAlign w:val="center"/>
          </w:tcPr>
          <w:p w14:paraId="67520EF6">
            <w:pPr>
              <w:tabs>
                <w:tab w:val="left" w:pos="304"/>
              </w:tabs>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培训方案</w:t>
            </w:r>
          </w:p>
          <w:p w14:paraId="49A16E43">
            <w:pPr>
              <w:tabs>
                <w:tab w:val="left" w:pos="304"/>
              </w:tabs>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（8分）</w:t>
            </w:r>
          </w:p>
        </w:tc>
        <w:tc>
          <w:tcPr>
            <w:tcW w:w="6359" w:type="dxa"/>
            <w:shd w:val="clear" w:color="auto" w:fill="auto"/>
            <w:noWrap w:val="0"/>
            <w:vAlign w:val="center"/>
          </w:tcPr>
          <w:p w14:paraId="13FB0042">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供应商针对于本项目制定</w:t>
            </w:r>
            <w:r>
              <w:rPr>
                <w:rFonts w:hint="eastAsia" w:ascii="宋体" w:hAnsi="宋体" w:eastAsia="宋体" w:cs="宋体"/>
                <w:b w:val="0"/>
                <w:bCs w:val="0"/>
                <w:sz w:val="24"/>
                <w:szCs w:val="24"/>
                <w:highlight w:val="none"/>
                <w:lang w:val="en-US" w:eastAsia="en-US"/>
              </w:rPr>
              <w:t>切实可行的</w:t>
            </w:r>
            <w:r>
              <w:rPr>
                <w:rFonts w:hint="eastAsia" w:ascii="宋体" w:hAnsi="宋体" w:eastAsia="宋体" w:cs="宋体"/>
                <w:b w:val="0"/>
                <w:bCs w:val="0"/>
                <w:sz w:val="24"/>
                <w:szCs w:val="24"/>
                <w:highlight w:val="none"/>
                <w:lang w:val="en-US" w:eastAsia="zh-CN"/>
              </w:rPr>
              <w:t>培训</w:t>
            </w:r>
            <w:r>
              <w:rPr>
                <w:rFonts w:hint="eastAsia" w:ascii="宋体" w:hAnsi="宋体" w:eastAsia="宋体" w:cs="宋体"/>
                <w:b w:val="0"/>
                <w:bCs w:val="0"/>
                <w:sz w:val="24"/>
                <w:szCs w:val="24"/>
                <w:highlight w:val="none"/>
                <w:lang w:val="en-US" w:eastAsia="en-US"/>
              </w:rPr>
              <w:t>方案，</w:t>
            </w:r>
            <w:r>
              <w:rPr>
                <w:rFonts w:hint="eastAsia" w:ascii="宋体" w:hAnsi="宋体" w:eastAsia="宋体" w:cs="宋体"/>
                <w:b w:val="0"/>
                <w:bCs w:val="0"/>
                <w:sz w:val="24"/>
                <w:szCs w:val="24"/>
                <w:highlight w:val="none"/>
                <w:lang w:val="en-US" w:eastAsia="zh-CN"/>
              </w:rPr>
              <w:t>保证操作人员熟练使用设备，包含但不限于以下几个方面：</w:t>
            </w:r>
          </w:p>
          <w:p w14:paraId="793922F5">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1、培训安排；</w:t>
            </w:r>
          </w:p>
          <w:p w14:paraId="40849A4B">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2、设备使用安全操作规程及注意要点；</w:t>
            </w:r>
          </w:p>
          <w:p w14:paraId="00E5431E">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3、厨房设备维修保养措施；</w:t>
            </w:r>
          </w:p>
          <w:p w14:paraId="357EAD59">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4、厨房防火防电预案；</w:t>
            </w:r>
          </w:p>
          <w:p w14:paraId="5DCF7EF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以上</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项内容</w:t>
            </w:r>
            <w:r>
              <w:rPr>
                <w:rFonts w:ascii="宋体" w:hAnsi="宋体" w:eastAsia="宋体" w:cs="宋体"/>
                <w:sz w:val="24"/>
                <w:szCs w:val="24"/>
              </w:rPr>
              <w:t>每满足上述一项内容得2分，最多得</w:t>
            </w:r>
            <w:r>
              <w:rPr>
                <w:rFonts w:hint="eastAsia" w:ascii="宋体" w:hAnsi="宋体" w:cs="宋体"/>
                <w:sz w:val="24"/>
                <w:szCs w:val="24"/>
                <w:lang w:val="en-US" w:eastAsia="zh-CN"/>
              </w:rPr>
              <w:t>8</w:t>
            </w:r>
            <w:r>
              <w:rPr>
                <w:rFonts w:ascii="宋体" w:hAnsi="宋体" w:eastAsia="宋体" w:cs="宋体"/>
                <w:sz w:val="24"/>
                <w:szCs w:val="24"/>
              </w:rPr>
              <w:t>分，未 提供方案或方案内容存在缺陷或不足不得分。方案内容存在缺陷或不足是指以下任意一种情形：方案内容不切合行业实际、不符合国家法规政策，或前后逻辑错误，与实际情况不符，存在偏差，或存在与项目无关的文字内容，或简单复制招标文件，或内容逻辑漏洞或原理错误。</w:t>
            </w:r>
          </w:p>
        </w:tc>
      </w:tr>
      <w:tr w14:paraId="2D6E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651" w:type="dxa"/>
            <w:vMerge w:val="continue"/>
            <w:noWrap w:val="0"/>
            <w:vAlign w:val="top"/>
          </w:tcPr>
          <w:p w14:paraId="37EA238E">
            <w:pPr>
              <w:tabs>
                <w:tab w:val="left" w:pos="304"/>
              </w:tabs>
              <w:adjustRightInd w:val="0"/>
              <w:snapToGrid w:val="0"/>
              <w:jc w:val="center"/>
              <w:rPr>
                <w:rFonts w:hint="eastAsia" w:ascii="宋体" w:hAnsi="宋体" w:eastAsia="宋体" w:cs="宋体"/>
                <w:sz w:val="24"/>
                <w:szCs w:val="24"/>
                <w:highlight w:val="none"/>
              </w:rPr>
            </w:pPr>
          </w:p>
        </w:tc>
        <w:tc>
          <w:tcPr>
            <w:tcW w:w="1409" w:type="dxa"/>
            <w:shd w:val="clear" w:color="auto" w:fill="auto"/>
            <w:noWrap w:val="0"/>
            <w:vAlign w:val="center"/>
          </w:tcPr>
          <w:p w14:paraId="3CAAA217">
            <w:pPr>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w:t>
            </w:r>
          </w:p>
          <w:p w14:paraId="340EDDBB">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（8分）</w:t>
            </w:r>
          </w:p>
        </w:tc>
        <w:tc>
          <w:tcPr>
            <w:tcW w:w="6359" w:type="dxa"/>
            <w:shd w:val="clear" w:color="auto" w:fill="auto"/>
            <w:noWrap w:val="0"/>
            <w:vAlign w:val="center"/>
          </w:tcPr>
          <w:p w14:paraId="56707F7D">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针对本项目提供的售后服务方案包含：</w:t>
            </w:r>
          </w:p>
          <w:p w14:paraId="3787BF06">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1、响应机制；</w:t>
            </w:r>
          </w:p>
          <w:p w14:paraId="6EE7D694">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2、售后服务流程；</w:t>
            </w:r>
          </w:p>
          <w:p w14:paraId="6A67261A">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3、售后服务保障措施；</w:t>
            </w:r>
          </w:p>
          <w:p w14:paraId="00CD2AC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4、应急保障措施；</w:t>
            </w:r>
          </w:p>
          <w:p w14:paraId="69B92356">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以上</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项内容</w:t>
            </w:r>
            <w:r>
              <w:rPr>
                <w:rFonts w:ascii="宋体" w:hAnsi="宋体" w:eastAsia="宋体" w:cs="宋体"/>
                <w:sz w:val="24"/>
                <w:szCs w:val="24"/>
              </w:rPr>
              <w:t>每满足上述一项内容得2分，最多得</w:t>
            </w:r>
            <w:r>
              <w:rPr>
                <w:rFonts w:hint="eastAsia" w:ascii="宋体" w:hAnsi="宋体" w:cs="宋体"/>
                <w:sz w:val="24"/>
                <w:szCs w:val="24"/>
                <w:lang w:val="en-US" w:eastAsia="zh-CN"/>
              </w:rPr>
              <w:t>8</w:t>
            </w:r>
            <w:r>
              <w:rPr>
                <w:rFonts w:ascii="宋体" w:hAnsi="宋体" w:eastAsia="宋体" w:cs="宋体"/>
                <w:sz w:val="24"/>
                <w:szCs w:val="24"/>
              </w:rPr>
              <w:t>分，未 提供方案或方案内容存在缺陷或不足不得分。方案内容存在缺陷或不足是指以下任意一种情形：方案内容不切合行业实际、不符合国家法规政策，或前后逻辑错误，与实际情况不符，存在偏差，或存在与项目无关的文字内容，或简单复制招标文件，或内容逻辑漏洞或原理错误。</w:t>
            </w:r>
          </w:p>
        </w:tc>
      </w:tr>
      <w:tr w14:paraId="0881C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651" w:type="dxa"/>
            <w:vMerge w:val="continue"/>
            <w:noWrap w:val="0"/>
            <w:vAlign w:val="top"/>
          </w:tcPr>
          <w:p w14:paraId="65B806DF">
            <w:pPr>
              <w:tabs>
                <w:tab w:val="left" w:pos="304"/>
              </w:tabs>
              <w:adjustRightInd w:val="0"/>
              <w:snapToGrid w:val="0"/>
              <w:jc w:val="center"/>
              <w:rPr>
                <w:rFonts w:hint="eastAsia" w:ascii="宋体" w:hAnsi="宋体" w:eastAsia="宋体" w:cs="宋体"/>
                <w:sz w:val="24"/>
                <w:szCs w:val="24"/>
                <w:highlight w:val="none"/>
              </w:rPr>
            </w:pPr>
          </w:p>
        </w:tc>
        <w:tc>
          <w:tcPr>
            <w:tcW w:w="1409" w:type="dxa"/>
            <w:shd w:val="clear" w:color="auto" w:fill="auto"/>
            <w:noWrap w:val="0"/>
            <w:vAlign w:val="center"/>
          </w:tcPr>
          <w:p w14:paraId="37E41B22">
            <w:pPr>
              <w:snapToGrid/>
              <w:spacing w:line="24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售后服务响应承诺</w:t>
            </w:r>
          </w:p>
          <w:p w14:paraId="7EEBF4E2">
            <w:pPr>
              <w:snapToGrid/>
              <w:spacing w:line="24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（2分）</w:t>
            </w:r>
          </w:p>
        </w:tc>
        <w:tc>
          <w:tcPr>
            <w:tcW w:w="6359" w:type="dxa"/>
            <w:shd w:val="clear" w:color="auto" w:fill="auto"/>
            <w:noWrap w:val="0"/>
            <w:vAlign w:val="center"/>
          </w:tcPr>
          <w:p w14:paraId="318FE4D0">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可实现本地化上门售后服务（在服务地有售后服务网点，标书内提供售后服务网点营业执照）快速反应、及时服务，接到采购人报修后半小时内到场得2分，1小时内到场的得1分，其余不得分，标书内提供法人及授权代表签字的承诺书。注：营业执照注册地址为长春市以外其他地区的投标供应商需在服务所在地设有相关授权售后网点（投标文件内提供加盖双方公章的授权书及授权售后服务网点的营业执照）</w:t>
            </w:r>
          </w:p>
        </w:tc>
      </w:tr>
      <w:tr w14:paraId="02C3F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651" w:type="dxa"/>
            <w:vMerge w:val="continue"/>
            <w:noWrap w:val="0"/>
            <w:vAlign w:val="top"/>
          </w:tcPr>
          <w:p w14:paraId="5BB0DE70">
            <w:pPr>
              <w:tabs>
                <w:tab w:val="left" w:pos="304"/>
              </w:tabs>
              <w:adjustRightInd w:val="0"/>
              <w:snapToGrid w:val="0"/>
              <w:jc w:val="center"/>
              <w:rPr>
                <w:rFonts w:hint="eastAsia" w:ascii="宋体" w:hAnsi="宋体" w:eastAsia="宋体" w:cs="宋体"/>
                <w:sz w:val="24"/>
                <w:szCs w:val="24"/>
                <w:highlight w:val="none"/>
              </w:rPr>
            </w:pPr>
          </w:p>
        </w:tc>
        <w:tc>
          <w:tcPr>
            <w:tcW w:w="1409" w:type="dxa"/>
            <w:shd w:val="clear" w:color="auto" w:fill="auto"/>
            <w:noWrap w:val="0"/>
            <w:vAlign w:val="center"/>
          </w:tcPr>
          <w:p w14:paraId="671BAA48">
            <w:pPr>
              <w:tabs>
                <w:tab w:val="left" w:pos="304"/>
              </w:tabs>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优惠条件</w:t>
            </w:r>
          </w:p>
          <w:p w14:paraId="700597FF">
            <w:pPr>
              <w:tabs>
                <w:tab w:val="left" w:pos="304"/>
              </w:tabs>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（2分）</w:t>
            </w:r>
          </w:p>
        </w:tc>
        <w:tc>
          <w:tcPr>
            <w:tcW w:w="6359" w:type="dxa"/>
            <w:shd w:val="clear" w:color="auto" w:fill="auto"/>
            <w:noWrap w:val="0"/>
            <w:vAlign w:val="center"/>
          </w:tcPr>
          <w:p w14:paraId="7CDC0AE2">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对提出的采购人可以接受的实质优惠条件进行打分，每有一项实质性承诺得0.5分，最多得2分。</w:t>
            </w:r>
          </w:p>
        </w:tc>
      </w:tr>
      <w:tr w14:paraId="15177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651" w:type="dxa"/>
            <w:vMerge w:val="continue"/>
            <w:noWrap w:val="0"/>
            <w:vAlign w:val="top"/>
          </w:tcPr>
          <w:p w14:paraId="5562FD32">
            <w:pPr>
              <w:tabs>
                <w:tab w:val="left" w:pos="304"/>
              </w:tabs>
              <w:adjustRightInd w:val="0"/>
              <w:snapToGrid w:val="0"/>
              <w:jc w:val="center"/>
              <w:rPr>
                <w:rFonts w:hint="eastAsia" w:ascii="宋体" w:hAnsi="宋体" w:eastAsia="宋体" w:cs="宋体"/>
                <w:sz w:val="24"/>
                <w:szCs w:val="24"/>
                <w:highlight w:val="none"/>
              </w:rPr>
            </w:pPr>
          </w:p>
        </w:tc>
        <w:tc>
          <w:tcPr>
            <w:tcW w:w="1409" w:type="dxa"/>
            <w:noWrap w:val="0"/>
            <w:vAlign w:val="center"/>
          </w:tcPr>
          <w:p w14:paraId="542E1C91">
            <w:pPr>
              <w:tabs>
                <w:tab w:val="left" w:pos="304"/>
              </w:tabs>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服务承诺</w:t>
            </w:r>
          </w:p>
          <w:p w14:paraId="4D1AD432">
            <w:pPr>
              <w:tabs>
                <w:tab w:val="left" w:pos="304"/>
              </w:tabs>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（2分）</w:t>
            </w:r>
          </w:p>
        </w:tc>
        <w:tc>
          <w:tcPr>
            <w:tcW w:w="6359" w:type="dxa"/>
            <w:noWrap w:val="0"/>
            <w:vAlign w:val="center"/>
          </w:tcPr>
          <w:p w14:paraId="373B8677">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在满足本项目要求的基础上，对提出的采购人可以接受的合理服务承诺进行打分，每有一项实质性承诺得0.5分，最多得2分。</w:t>
            </w:r>
          </w:p>
        </w:tc>
      </w:tr>
    </w:tbl>
    <w:p w14:paraId="33D4CAD6">
      <w:pPr>
        <w:spacing w:line="400" w:lineRule="exact"/>
        <w:jc w:val="both"/>
        <w:rPr>
          <w:rFonts w:hint="eastAsia" w:ascii="宋体" w:hAnsi="宋体" w:cs="宋体"/>
          <w:b/>
          <w:bCs/>
          <w:color w:val="auto"/>
          <w:sz w:val="32"/>
          <w:highlight w:val="none"/>
          <w:lang w:val="en-US" w:eastAsia="zh-CN"/>
        </w:rPr>
      </w:pPr>
    </w:p>
    <w:p w14:paraId="79372525">
      <w:pPr>
        <w:spacing w:line="360" w:lineRule="auto"/>
        <w:jc w:val="center"/>
        <w:outlineLvl w:val="9"/>
        <w:rPr>
          <w:rFonts w:hint="eastAsia" w:ascii="宋体" w:hAnsi="宋体" w:cs="宋体"/>
          <w:b/>
          <w:color w:val="auto"/>
          <w:sz w:val="28"/>
          <w:szCs w:val="28"/>
          <w:highlight w:val="none"/>
        </w:rPr>
      </w:pPr>
    </w:p>
    <w:p w14:paraId="371C0CC2">
      <w:pPr>
        <w:spacing w:line="360" w:lineRule="auto"/>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三、政府采购政策</w:t>
      </w:r>
    </w:p>
    <w:p w14:paraId="6D6931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24"/>
          <w:szCs w:val="24"/>
          <w:highlight w:val="none"/>
        </w:rPr>
      </w:pPr>
      <w:r>
        <w:rPr>
          <w:rFonts w:hint="eastAsia" w:ascii="宋体" w:hAnsi="宋体" w:cs="宋体"/>
          <w:color w:val="auto"/>
          <w:sz w:val="24"/>
          <w:szCs w:val="24"/>
          <w:highlight w:val="none"/>
        </w:rPr>
        <w:t>1.根据《政府采购促进中小企业发展管理办法》（财库〔2020〕46号文件）、《财政部关于进一步加大政府采购支持中小企业力度的通知》（财库〔2022〕19号）文件的规定，</w:t>
      </w:r>
      <w:r>
        <w:rPr>
          <w:rFonts w:hint="eastAsia" w:ascii="宋体" w:hAnsi="宋体" w:cs="宋体"/>
          <w:b/>
          <w:bCs/>
          <w:color w:val="auto"/>
          <w:sz w:val="24"/>
          <w:szCs w:val="24"/>
          <w:highlight w:val="none"/>
        </w:rPr>
        <w:t>本项目为非专门面向中小企业的项目，对于小型或微型企业（含监狱企业、残疾人福利性单位）参与本项目投标的，给予10%的价格扣除。（注：小型或微型企业需提供中小企业声明函，价格扣除后作为评标价格</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zh-CN"/>
        </w:rPr>
        <w:t>专门面向中小企业采购的项目或者采购包，不再执行价格评审优惠的扶持政策。</w:t>
      </w:r>
      <w:r>
        <w:rPr>
          <w:rFonts w:hint="eastAsia" w:ascii="宋体" w:hAnsi="宋体" w:cs="宋体"/>
          <w:b/>
          <w:bCs/>
          <w:color w:val="auto"/>
          <w:sz w:val="24"/>
          <w:szCs w:val="24"/>
          <w:highlight w:val="none"/>
        </w:rPr>
        <w:t>）</w:t>
      </w:r>
    </w:p>
    <w:p w14:paraId="76A2AD2B">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 </w:t>
      </w:r>
    </w:p>
    <w:p w14:paraId="02205479">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三部门联合发布关于促进残疾人就业政府采购政策的通知》（财库〔2017〕141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并对声明的真实性负责。残疾人福利性单位属于小型、微型企业的，不重复享受政策。</w:t>
      </w:r>
    </w:p>
    <w:p w14:paraId="4790A110">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w:t>
      </w:r>
    </w:p>
    <w:p w14:paraId="66CAAFE3">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3.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 </w:t>
      </w:r>
    </w:p>
    <w:p w14:paraId="0664A525">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0C048305">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5.投标产品同时列入上述多个清单的，将上述规定的价格扣除比例叠加后计算价格扣除。</w:t>
      </w:r>
    </w:p>
    <w:p w14:paraId="3EE3B6FB">
      <w:pPr>
        <w:autoSpaceDE w:val="0"/>
        <w:autoSpaceDN w:val="0"/>
        <w:adjustRightIn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br w:type="page"/>
      </w:r>
    </w:p>
    <w:p w14:paraId="6D7BA0A7">
      <w:pPr>
        <w:pStyle w:val="2"/>
        <w:numPr>
          <w:ilvl w:val="0"/>
          <w:numId w:val="2"/>
        </w:numPr>
        <w:spacing w:before="0" w:after="0"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 xml:space="preserve"> </w:t>
      </w:r>
      <w:bookmarkStart w:id="69" w:name="_Toc11835"/>
      <w:r>
        <w:rPr>
          <w:rFonts w:hint="eastAsia" w:ascii="宋体" w:hAnsi="宋体" w:cs="宋体"/>
          <w:color w:val="auto"/>
          <w:sz w:val="36"/>
          <w:szCs w:val="36"/>
          <w:highlight w:val="none"/>
        </w:rPr>
        <w:t>采购需求</w:t>
      </w:r>
      <w:bookmarkEnd w:id="69"/>
      <w:bookmarkStart w:id="70" w:name="_第五部分__"/>
      <w:bookmarkEnd w:id="70"/>
    </w:p>
    <w:p w14:paraId="512FE4E0">
      <w:pPr>
        <w:pStyle w:val="2"/>
        <w:numPr>
          <w:ilvl w:val="0"/>
          <w:numId w:val="0"/>
        </w:numPr>
        <w:spacing w:before="0" w:after="0" w:line="360" w:lineRule="auto"/>
        <w:jc w:val="both"/>
        <w:rPr>
          <w:rFonts w:hint="default" w:ascii="宋体" w:hAnsi="宋体" w:eastAsia="宋体" w:cs="宋体"/>
          <w:b/>
          <w:bCs w:val="0"/>
          <w:color w:val="auto"/>
          <w:sz w:val="36"/>
          <w:szCs w:val="36"/>
          <w:highlight w:val="none"/>
          <w:lang w:val="en-US" w:eastAsia="zh-CN"/>
        </w:rPr>
      </w:pPr>
      <w:r>
        <w:rPr>
          <w:rFonts w:hint="eastAsia" w:ascii="宋体" w:hAnsi="宋体" w:cs="宋体"/>
          <w:b/>
          <w:bCs w:val="0"/>
          <w:color w:val="auto"/>
          <w:sz w:val="36"/>
          <w:szCs w:val="36"/>
          <w:highlight w:val="none"/>
          <w:lang w:val="en-US" w:eastAsia="zh-CN"/>
        </w:rPr>
        <w:t>一、设备要求：</w:t>
      </w:r>
    </w:p>
    <w:tbl>
      <w:tblPr>
        <w:tblStyle w:val="43"/>
        <w:tblW w:w="44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4"/>
        <w:gridCol w:w="1396"/>
        <w:gridCol w:w="511"/>
        <w:gridCol w:w="4532"/>
        <w:gridCol w:w="511"/>
        <w:gridCol w:w="1553"/>
      </w:tblGrid>
      <w:tr w14:paraId="7A180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31E1">
            <w:pPr>
              <w:keepNext w:val="0"/>
              <w:keepLines w:val="0"/>
              <w:widowControl/>
              <w:suppressLineNumbers w:val="0"/>
              <w:jc w:val="center"/>
              <w:textAlignment w:val="center"/>
              <w:rPr>
                <w:rFonts w:ascii="等线" w:hAnsi="等线" w:eastAsia="等线" w:cs="等线"/>
                <w:b/>
                <w:bCs/>
                <w:i w:val="0"/>
                <w:iCs w:val="0"/>
                <w:color w:val="000000"/>
                <w:sz w:val="21"/>
                <w:szCs w:val="21"/>
                <w:highlight w:val="none"/>
                <w:u w:val="none"/>
              </w:rPr>
            </w:pPr>
            <w:bookmarkStart w:id="71" w:name="_Toc20708"/>
            <w:r>
              <w:rPr>
                <w:rFonts w:hint="eastAsia" w:ascii="等线" w:hAnsi="等线" w:eastAsia="等线" w:cs="等线"/>
                <w:b/>
                <w:bCs/>
                <w:i w:val="0"/>
                <w:iCs w:val="0"/>
                <w:color w:val="000000"/>
                <w:kern w:val="0"/>
                <w:sz w:val="21"/>
                <w:szCs w:val="21"/>
                <w:highlight w:val="none"/>
                <w:u w:val="none"/>
                <w:lang w:val="en-US" w:eastAsia="zh-CN" w:bidi="ar"/>
              </w:rPr>
              <w:t>功能间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FCFF">
            <w:pPr>
              <w:keepNext w:val="0"/>
              <w:keepLines w:val="0"/>
              <w:widowControl/>
              <w:suppressLineNumbers w:val="0"/>
              <w:jc w:val="center"/>
              <w:textAlignment w:val="center"/>
              <w:rPr>
                <w:rFonts w:hint="eastAsia" w:ascii="等线" w:hAnsi="等线" w:eastAsia="等线" w:cs="等线"/>
                <w:b/>
                <w:bCs/>
                <w:i w:val="0"/>
                <w:iCs w:val="0"/>
                <w:color w:val="000000"/>
                <w:sz w:val="21"/>
                <w:szCs w:val="21"/>
                <w:highlight w:val="none"/>
                <w:u w:val="none"/>
              </w:rPr>
            </w:pPr>
            <w:r>
              <w:rPr>
                <w:rFonts w:hint="eastAsia" w:ascii="等线" w:hAnsi="等线" w:eastAsia="等线" w:cs="等线"/>
                <w:b/>
                <w:bCs/>
                <w:i w:val="0"/>
                <w:iCs w:val="0"/>
                <w:color w:val="000000"/>
                <w:kern w:val="0"/>
                <w:sz w:val="21"/>
                <w:szCs w:val="21"/>
                <w:highlight w:val="none"/>
                <w:u w:val="none"/>
                <w:lang w:val="en-US" w:eastAsia="zh-CN" w:bidi="ar"/>
              </w:rPr>
              <w:t>设备名称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F2EF">
            <w:pPr>
              <w:keepNext w:val="0"/>
              <w:keepLines w:val="0"/>
              <w:widowControl/>
              <w:suppressLineNumbers w:val="0"/>
              <w:jc w:val="center"/>
              <w:textAlignment w:val="center"/>
              <w:rPr>
                <w:rFonts w:hint="eastAsia" w:ascii="等线" w:hAnsi="等线" w:eastAsia="等线" w:cs="等线"/>
                <w:b/>
                <w:bCs/>
                <w:i w:val="0"/>
                <w:iCs w:val="0"/>
                <w:color w:val="000000"/>
                <w:sz w:val="21"/>
                <w:szCs w:val="21"/>
                <w:highlight w:val="none"/>
                <w:u w:val="none"/>
              </w:rPr>
            </w:pPr>
            <w:r>
              <w:rPr>
                <w:rFonts w:hint="eastAsia" w:ascii="等线" w:hAnsi="等线" w:eastAsia="等线" w:cs="等线"/>
                <w:b/>
                <w:bCs/>
                <w:i w:val="0"/>
                <w:iCs w:val="0"/>
                <w:color w:val="000000"/>
                <w:kern w:val="0"/>
                <w:sz w:val="21"/>
                <w:szCs w:val="21"/>
                <w:highlight w:val="none"/>
                <w:u w:val="none"/>
                <w:lang w:val="en-US" w:eastAsia="zh-CN" w:bidi="ar"/>
              </w:rPr>
              <w:t>数量</w:t>
            </w:r>
          </w:p>
        </w:tc>
        <w:tc>
          <w:tcPr>
            <w:tcW w:w="2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13ED">
            <w:pPr>
              <w:keepNext w:val="0"/>
              <w:keepLines w:val="0"/>
              <w:widowControl/>
              <w:suppressLineNumbers w:val="0"/>
              <w:jc w:val="center"/>
              <w:textAlignment w:val="center"/>
              <w:rPr>
                <w:rFonts w:hint="eastAsia" w:ascii="等线" w:hAnsi="等线" w:eastAsia="等线" w:cs="等线"/>
                <w:b/>
                <w:bCs/>
                <w:i w:val="0"/>
                <w:iCs w:val="0"/>
                <w:color w:val="000000"/>
                <w:sz w:val="21"/>
                <w:szCs w:val="21"/>
                <w:highlight w:val="none"/>
                <w:u w:val="none"/>
              </w:rPr>
            </w:pPr>
            <w:r>
              <w:rPr>
                <w:rFonts w:hint="eastAsia" w:ascii="等线" w:hAnsi="等线" w:eastAsia="等线" w:cs="等线"/>
                <w:b/>
                <w:bCs/>
                <w:i w:val="0"/>
                <w:iCs w:val="0"/>
                <w:color w:val="000000"/>
                <w:kern w:val="0"/>
                <w:sz w:val="21"/>
                <w:szCs w:val="21"/>
                <w:highlight w:val="none"/>
                <w:u w:val="none"/>
                <w:lang w:val="en-US" w:eastAsia="zh-CN" w:bidi="ar"/>
              </w:rPr>
              <w:t>型号</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47A9">
            <w:pPr>
              <w:keepNext w:val="0"/>
              <w:keepLines w:val="0"/>
              <w:widowControl/>
              <w:suppressLineNumbers w:val="0"/>
              <w:jc w:val="center"/>
              <w:textAlignment w:val="center"/>
              <w:rPr>
                <w:rFonts w:hint="eastAsia" w:ascii="等线" w:hAnsi="等线" w:eastAsia="等线" w:cs="等线"/>
                <w:b/>
                <w:bCs/>
                <w:i w:val="0"/>
                <w:iCs w:val="0"/>
                <w:color w:val="000000"/>
                <w:sz w:val="21"/>
                <w:szCs w:val="21"/>
                <w:highlight w:val="none"/>
                <w:u w:val="none"/>
              </w:rPr>
            </w:pPr>
            <w:r>
              <w:rPr>
                <w:rFonts w:hint="eastAsia" w:ascii="等线" w:hAnsi="等线" w:eastAsia="等线" w:cs="等线"/>
                <w:b/>
                <w:bCs/>
                <w:i w:val="0"/>
                <w:iCs w:val="0"/>
                <w:color w:val="000000"/>
                <w:kern w:val="0"/>
                <w:sz w:val="21"/>
                <w:szCs w:val="21"/>
                <w:highlight w:val="none"/>
                <w:u w:val="none"/>
                <w:lang w:val="en-US" w:eastAsia="zh-CN" w:bidi="ar"/>
              </w:rPr>
              <w:t>单位</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52E2">
            <w:pPr>
              <w:keepNext w:val="0"/>
              <w:keepLines w:val="0"/>
              <w:widowControl/>
              <w:suppressLineNumbers w:val="0"/>
              <w:jc w:val="center"/>
              <w:textAlignment w:val="center"/>
              <w:rPr>
                <w:rFonts w:hint="eastAsia" w:ascii="等线" w:hAnsi="等线" w:eastAsia="等线" w:cs="等线"/>
                <w:b/>
                <w:bCs/>
                <w:i w:val="0"/>
                <w:iCs w:val="0"/>
                <w:color w:val="000000"/>
                <w:sz w:val="21"/>
                <w:szCs w:val="21"/>
                <w:highlight w:val="none"/>
                <w:u w:val="none"/>
              </w:rPr>
            </w:pPr>
            <w:r>
              <w:rPr>
                <w:rFonts w:hint="eastAsia" w:ascii="等线" w:hAnsi="等线" w:eastAsia="等线" w:cs="等线"/>
                <w:b/>
                <w:bCs/>
                <w:i w:val="0"/>
                <w:iCs w:val="0"/>
                <w:color w:val="000000"/>
                <w:kern w:val="0"/>
                <w:sz w:val="21"/>
                <w:szCs w:val="21"/>
                <w:highlight w:val="none"/>
                <w:u w:val="none"/>
                <w:lang w:val="en-US" w:eastAsia="zh-CN" w:bidi="ar"/>
              </w:rPr>
              <w:t>备注</w:t>
            </w:r>
          </w:p>
        </w:tc>
      </w:tr>
      <w:tr w14:paraId="39CD9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7913">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洗消间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34F8">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热风循环消毒柜</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A450">
            <w:pPr>
              <w:keepNext w:val="0"/>
              <w:keepLines w:val="0"/>
              <w:widowControl/>
              <w:suppressLineNumbers w:val="0"/>
              <w:jc w:val="center"/>
              <w:textAlignment w:val="center"/>
              <w:rPr>
                <w:rFonts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4</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993F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外形尺寸1310*650*1980。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材质：机身采用优质不锈钢技术标准：360度热风高温消毒，内胆无磁不锈钢，电压及功率：220V/3.6KW。特点：消毒保洁储物空间大。</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5CF0">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181F">
            <w:pPr>
              <w:jc w:val="center"/>
              <w:rPr>
                <w:rFonts w:hint="eastAsia" w:ascii="等线" w:hAnsi="等线" w:eastAsia="等线" w:cs="等线"/>
                <w:i w:val="0"/>
                <w:iCs w:val="0"/>
                <w:color w:val="000000"/>
                <w:sz w:val="21"/>
                <w:szCs w:val="21"/>
                <w:highlight w:val="none"/>
                <w:u w:val="none"/>
              </w:rPr>
            </w:pPr>
          </w:p>
        </w:tc>
      </w:tr>
      <w:tr w14:paraId="5CAE0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2DE4">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BFAB">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单层白钢操作台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079D">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BABD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外形尺寸1800*800*800。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 SUS201不锈钢材质，发纹贴塑处理，台面及层板板壁厚1.2mm足尺（上层背面贴18mm足尺厚201防火板）；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2、圆角模压成型；不锈钢加强筋，加强筋厚1.0mm足尺；腿为38*38方管；配不锈钢可调脚。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3、整体满焊非组装。</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BDF1">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53D2">
            <w:pPr>
              <w:jc w:val="center"/>
              <w:rPr>
                <w:rFonts w:hint="eastAsia" w:ascii="等线" w:hAnsi="等线" w:eastAsia="等线" w:cs="等线"/>
                <w:i w:val="0"/>
                <w:iCs w:val="0"/>
                <w:color w:val="000000"/>
                <w:sz w:val="21"/>
                <w:szCs w:val="21"/>
                <w:highlight w:val="none"/>
                <w:u w:val="none"/>
              </w:rPr>
            </w:pPr>
          </w:p>
        </w:tc>
      </w:tr>
      <w:tr w14:paraId="36F67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B1D5">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2D4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两孔洗消池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33AC">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3D7F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外形尺寸1200*700*800。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1、SUS201不锈钢板材制作，厚度1.2mm足尺，腿为38*38*1.2mm足尺不锈钢方管制作，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2、带三面围板（201不锈钢，厚度1.2mm足尺），易清洁，不锈钢全钢调整脚。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3、配全不锈钢下水器。</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8BA3">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7170">
            <w:pPr>
              <w:jc w:val="center"/>
              <w:rPr>
                <w:rFonts w:hint="eastAsia" w:ascii="等线" w:hAnsi="等线" w:eastAsia="等线" w:cs="等线"/>
                <w:i w:val="0"/>
                <w:iCs w:val="0"/>
                <w:color w:val="000000"/>
                <w:sz w:val="21"/>
                <w:szCs w:val="21"/>
                <w:highlight w:val="none"/>
                <w:u w:val="none"/>
              </w:rPr>
            </w:pPr>
          </w:p>
        </w:tc>
      </w:tr>
      <w:tr w14:paraId="45DF0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317D">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7194">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洗涤龙头</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C641">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EDF2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材质：和黄铜材料钢丝编织管组成,外表采用静电喷涂技术标准：参数标准:8-10M长液压管,材料为底碳钢材板厚度分为8MM-3MM,特点：龙头可回弹，使用方便，操作简单</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6536">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2FB3">
            <w:pPr>
              <w:jc w:val="center"/>
              <w:rPr>
                <w:rFonts w:hint="eastAsia" w:ascii="等线" w:hAnsi="等线" w:eastAsia="等线" w:cs="等线"/>
                <w:i w:val="0"/>
                <w:iCs w:val="0"/>
                <w:color w:val="000000"/>
                <w:sz w:val="21"/>
                <w:szCs w:val="21"/>
                <w:highlight w:val="none"/>
                <w:u w:val="none"/>
              </w:rPr>
            </w:pPr>
          </w:p>
        </w:tc>
      </w:tr>
      <w:tr w14:paraId="7D5A6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8190">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6DEB">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残食台连车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4F90">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5F04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外形尺寸700*700*800，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材质：面板采用304#1.2mm厚优质不锈钢；余板201#1.0mm厚优质不锈钢技术标准：一体焊接，投料口，带车，配有专用橡胶静音轮，两个定向轮，两个万向轮；特点：卫生整洁、承重力大、衔接牢靠；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4AC0">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F93D">
            <w:pPr>
              <w:jc w:val="center"/>
              <w:rPr>
                <w:rFonts w:hint="eastAsia" w:ascii="等线" w:hAnsi="等线" w:eastAsia="等线" w:cs="等线"/>
                <w:i w:val="0"/>
                <w:iCs w:val="0"/>
                <w:color w:val="000000"/>
                <w:sz w:val="21"/>
                <w:szCs w:val="21"/>
                <w:highlight w:val="none"/>
                <w:u w:val="none"/>
              </w:rPr>
            </w:pPr>
          </w:p>
        </w:tc>
      </w:tr>
      <w:tr w14:paraId="4CA10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restart"/>
            <w:tcBorders>
              <w:top w:val="single" w:color="000000" w:sz="4" w:space="0"/>
              <w:left w:val="single" w:color="000000" w:sz="4" w:space="0"/>
              <w:bottom w:val="nil"/>
              <w:right w:val="single" w:color="000000" w:sz="4" w:space="0"/>
            </w:tcBorders>
            <w:shd w:val="clear" w:color="auto" w:fill="auto"/>
            <w:noWrap/>
            <w:vAlign w:val="center"/>
          </w:tcPr>
          <w:p w14:paraId="2FB81DD1">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保洁间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A7AD">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保洁柜</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329D">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56B9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外形尺寸1200*500*1800。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材质：面板采用201#1.2mm厚优质不锈钢；余板201#1.0mm厚优质不锈钢技术标准：每层一道不锈钢槽加强筋加固，内置层板一块，一次成型滑道，配不锈钢调节腿；特点：卫生整洁、承重力大、衔接牢靠。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2A5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7573">
            <w:pPr>
              <w:jc w:val="center"/>
              <w:rPr>
                <w:rFonts w:hint="eastAsia" w:ascii="等线" w:hAnsi="等线" w:eastAsia="等线" w:cs="等线"/>
                <w:i w:val="0"/>
                <w:iCs w:val="0"/>
                <w:color w:val="000000"/>
                <w:sz w:val="21"/>
                <w:szCs w:val="21"/>
                <w:highlight w:val="none"/>
                <w:u w:val="none"/>
              </w:rPr>
            </w:pPr>
          </w:p>
        </w:tc>
      </w:tr>
      <w:tr w14:paraId="548EC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3BBD45B">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543E">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单层白钢操作台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4C15">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0487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外形尺寸1800*800*800。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 SUS201不锈钢材质，发纹贴塑处理，台面及层板板壁厚1.2mm足尺（上层背面贴18mm足尺厚201防火板）；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2、圆角模压成型；不锈钢加强筋，加强筋厚1.0mm足尺；腿为38*38方管；配不锈钢可调脚。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3、整体满焊非组装。</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5B46">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B595">
            <w:pPr>
              <w:jc w:val="center"/>
              <w:rPr>
                <w:rFonts w:hint="eastAsia" w:ascii="等线" w:hAnsi="等线" w:eastAsia="等线" w:cs="等线"/>
                <w:i w:val="0"/>
                <w:iCs w:val="0"/>
                <w:color w:val="000000"/>
                <w:sz w:val="21"/>
                <w:szCs w:val="21"/>
                <w:highlight w:val="none"/>
                <w:u w:val="none"/>
              </w:rPr>
            </w:pPr>
          </w:p>
        </w:tc>
      </w:tr>
      <w:tr w14:paraId="7685F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A8C7528">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4D37">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两孔洗消池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1743">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9B70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外形尺寸1200*700*800。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1、SUS201不锈钢板材制作，厚度1.2mm足尺，腿为38*38*1.2mm足尺不锈钢方管制作，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2、带三面围板（201不锈钢，厚度1.2mm足尺），易清洁，不锈钢全钢调整脚。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3、配全不锈钢下水器。</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4F20">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72E0">
            <w:pPr>
              <w:jc w:val="center"/>
              <w:rPr>
                <w:rFonts w:hint="eastAsia" w:ascii="等线" w:hAnsi="等线" w:eastAsia="等线" w:cs="等线"/>
                <w:i w:val="0"/>
                <w:iCs w:val="0"/>
                <w:color w:val="000000"/>
                <w:sz w:val="21"/>
                <w:szCs w:val="21"/>
                <w:highlight w:val="none"/>
                <w:u w:val="none"/>
              </w:rPr>
            </w:pPr>
          </w:p>
        </w:tc>
      </w:tr>
      <w:tr w14:paraId="5E9DB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214EC16">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1463">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洗涤龙头</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E706">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3AFE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材质：和黄铜材料钢丝编织管组成,外表采用静电喷涂技术标准：参数标准:8-10M长液压管,材料为底碳钢材板厚度分为8MM-3MM,特点：龙头可回弹，使用方便，操作简单</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98CB">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EBF3">
            <w:pPr>
              <w:jc w:val="center"/>
              <w:rPr>
                <w:rFonts w:hint="eastAsia" w:ascii="等线" w:hAnsi="等线" w:eastAsia="等线" w:cs="等线"/>
                <w:i w:val="0"/>
                <w:iCs w:val="0"/>
                <w:color w:val="000000"/>
                <w:sz w:val="21"/>
                <w:szCs w:val="21"/>
                <w:highlight w:val="none"/>
                <w:u w:val="none"/>
              </w:rPr>
            </w:pPr>
          </w:p>
        </w:tc>
      </w:tr>
      <w:tr w14:paraId="5D4F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restart"/>
            <w:tcBorders>
              <w:top w:val="single" w:color="000000" w:sz="4" w:space="0"/>
              <w:left w:val="single" w:color="000000" w:sz="4" w:space="0"/>
              <w:bottom w:val="nil"/>
              <w:right w:val="single" w:color="000000" w:sz="4" w:space="0"/>
            </w:tcBorders>
            <w:shd w:val="clear" w:color="auto" w:fill="auto"/>
            <w:noWrap/>
            <w:vAlign w:val="center"/>
          </w:tcPr>
          <w:p w14:paraId="2585E1D3">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蒸煮间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B31D">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三门蒸饭箱</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1832">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812F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外形尺寸1600*760*1530。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材质：机身采用优质不锈钢技术标准：整体采用聚氨酯发泡，密封牢靠；盘的数量：36盘；配有馒头盘、蒸饭盘；电压及功率；380V/36KW；特点：配备自动上水及泄压保护装置。</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9A31">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2B56">
            <w:pPr>
              <w:jc w:val="center"/>
              <w:rPr>
                <w:rFonts w:hint="eastAsia" w:ascii="等线" w:hAnsi="等线" w:eastAsia="等线" w:cs="等线"/>
                <w:i w:val="0"/>
                <w:iCs w:val="0"/>
                <w:color w:val="000000"/>
                <w:sz w:val="21"/>
                <w:szCs w:val="21"/>
                <w:highlight w:val="none"/>
                <w:u w:val="none"/>
              </w:rPr>
            </w:pPr>
          </w:p>
        </w:tc>
      </w:tr>
      <w:tr w14:paraId="2DA92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E355DE5">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38E6">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单层白钢操作台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9B3F">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0053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外形尺寸1800*800*800。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 SUS201不锈钢材质，发纹贴塑处理，台面及层板板壁厚1.2mm足尺（上层背面贴18mm足尺厚201防火板）。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2、圆角模压成型；不锈钢加强筋，加强筋厚1.0mm足尺；腿为38*38方管；配不锈钢可调脚。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3、整体满焊非组装。</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7EEE">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4B68">
            <w:pPr>
              <w:jc w:val="center"/>
              <w:rPr>
                <w:rFonts w:hint="eastAsia" w:ascii="等线" w:hAnsi="等线" w:eastAsia="等线" w:cs="等线"/>
                <w:i w:val="0"/>
                <w:iCs w:val="0"/>
                <w:color w:val="000000"/>
                <w:sz w:val="21"/>
                <w:szCs w:val="21"/>
                <w:highlight w:val="none"/>
                <w:u w:val="none"/>
              </w:rPr>
            </w:pPr>
          </w:p>
        </w:tc>
      </w:tr>
      <w:tr w14:paraId="6E99E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3198AA7">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9D40">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托盘架（插盘车）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EA6A">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6</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0D27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外形尺寸450*600*1600。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1、主材采用SUS201不锈钢板材，厚度1.2mm足尺。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2、立柱为φ38*1.2mm足尺不锈钢管，管脚为重力不锈钢调节脚。</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C3BC">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A2C7">
            <w:pPr>
              <w:jc w:val="center"/>
              <w:rPr>
                <w:rFonts w:hint="eastAsia" w:ascii="等线" w:hAnsi="等线" w:eastAsia="等线" w:cs="等线"/>
                <w:i w:val="0"/>
                <w:iCs w:val="0"/>
                <w:color w:val="000000"/>
                <w:sz w:val="21"/>
                <w:szCs w:val="21"/>
                <w:highlight w:val="none"/>
                <w:u w:val="none"/>
              </w:rPr>
            </w:pPr>
          </w:p>
        </w:tc>
      </w:tr>
      <w:tr w14:paraId="7C65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8163211">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B6F7">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电煮锅</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151E">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3</w:t>
            </w:r>
          </w:p>
        </w:tc>
        <w:tc>
          <w:tcPr>
            <w:tcW w:w="2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EE8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60型，整体发泡，保温效果好，功率380V/12KW。</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0F5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010B">
            <w:pPr>
              <w:jc w:val="center"/>
              <w:rPr>
                <w:rFonts w:hint="eastAsia" w:ascii="等线" w:hAnsi="等线" w:eastAsia="等线" w:cs="等线"/>
                <w:i w:val="0"/>
                <w:iCs w:val="0"/>
                <w:color w:val="000000"/>
                <w:sz w:val="21"/>
                <w:szCs w:val="21"/>
                <w:highlight w:val="none"/>
                <w:u w:val="none"/>
              </w:rPr>
            </w:pPr>
          </w:p>
        </w:tc>
      </w:tr>
      <w:tr w14:paraId="3078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73B6EF5">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A713">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残食台连车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65E6">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FE88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700*700*800。材质：面板采用201#1.2mm厚优质不锈钢；余板201#1.0mm厚优质不锈钢；技术标准：一体焊接，投料口，带车，配有专用橡胶静音轮，两个定向轮，两个万向轮；特点：卫生整洁、承重力大、衔接牢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88DC">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FC0D">
            <w:pPr>
              <w:jc w:val="center"/>
              <w:rPr>
                <w:rFonts w:hint="eastAsia" w:ascii="等线" w:hAnsi="等线" w:eastAsia="等线" w:cs="等线"/>
                <w:i w:val="0"/>
                <w:iCs w:val="0"/>
                <w:color w:val="000000"/>
                <w:sz w:val="21"/>
                <w:szCs w:val="21"/>
                <w:highlight w:val="none"/>
                <w:u w:val="none"/>
              </w:rPr>
            </w:pPr>
          </w:p>
        </w:tc>
      </w:tr>
      <w:tr w14:paraId="06915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3BA1DBE">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D62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两孔洗消池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75B9">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4</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ED3C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外形尺寸1200*700*800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1、SUS201不锈钢板材制作，厚度1.2mm足尺，腿为38*38*1.2mm足尺不锈钢方管制作。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2、带三面围板（201不锈钢，厚度1.2mm足尺），易清洁，不锈钢全钢调整脚。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3、配全不锈钢下水器。</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2F02">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798F">
            <w:pPr>
              <w:jc w:val="center"/>
              <w:rPr>
                <w:rFonts w:hint="eastAsia" w:ascii="等线" w:hAnsi="等线" w:eastAsia="等线" w:cs="等线"/>
                <w:i w:val="0"/>
                <w:iCs w:val="0"/>
                <w:color w:val="000000"/>
                <w:sz w:val="21"/>
                <w:szCs w:val="21"/>
                <w:highlight w:val="none"/>
                <w:u w:val="none"/>
              </w:rPr>
            </w:pPr>
          </w:p>
        </w:tc>
      </w:tr>
      <w:tr w14:paraId="312D2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E268514">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3D83">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洗涤龙头</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C2E6">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FD49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材质：和黄铜材料钢丝编织管组成,外表采用静电喷涂技术标准：参数标准：8-10M长液压管,材料为底碳钢材板厚度分为8MM-3MM；特点：龙头可回弹，使用方便，操作简单。</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5743">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2B99">
            <w:pPr>
              <w:jc w:val="center"/>
              <w:rPr>
                <w:rFonts w:hint="eastAsia" w:ascii="等线" w:hAnsi="等线" w:eastAsia="等线" w:cs="等线"/>
                <w:i w:val="0"/>
                <w:iCs w:val="0"/>
                <w:color w:val="000000"/>
                <w:sz w:val="21"/>
                <w:szCs w:val="21"/>
                <w:highlight w:val="none"/>
                <w:u w:val="none"/>
              </w:rPr>
            </w:pPr>
          </w:p>
        </w:tc>
      </w:tr>
      <w:tr w14:paraId="3E14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CD5A">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面食加工间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FAFE">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电饼铛</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2025">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4</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1902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材质：不锈钢机体，烙盘采用铝制盘体技术标准：双温控制，温度可达0-250度随意调节，上下档双面加温，自动控温，保持恒温。电压及功率：380V/5KW；特点：形美观大方、结构合理、保温性能好，使用方便</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A24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D7F6">
            <w:pPr>
              <w:jc w:val="center"/>
              <w:rPr>
                <w:rFonts w:hint="eastAsia" w:ascii="等线" w:hAnsi="等线" w:eastAsia="等线" w:cs="等线"/>
                <w:i w:val="0"/>
                <w:iCs w:val="0"/>
                <w:color w:val="000000"/>
                <w:sz w:val="21"/>
                <w:szCs w:val="21"/>
                <w:highlight w:val="none"/>
                <w:u w:val="none"/>
              </w:rPr>
            </w:pPr>
          </w:p>
        </w:tc>
      </w:tr>
      <w:tr w14:paraId="3DAC6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6251">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F302">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双层烤箱</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D1EE">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3</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02DD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外形尺寸1240*900*1260，材质：机身采用优质不锈钢技术参数：烤箱：采用远红外线加热，热力均匀，炉底炉面上下双重加热控制，自动恒温功能。</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7AC9">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D648">
            <w:pPr>
              <w:jc w:val="center"/>
              <w:rPr>
                <w:rFonts w:hint="eastAsia" w:ascii="等线" w:hAnsi="等线" w:eastAsia="等线" w:cs="等线"/>
                <w:i w:val="0"/>
                <w:iCs w:val="0"/>
                <w:color w:val="000000"/>
                <w:sz w:val="21"/>
                <w:szCs w:val="21"/>
                <w:highlight w:val="none"/>
                <w:u w:val="none"/>
              </w:rPr>
            </w:pPr>
          </w:p>
        </w:tc>
      </w:tr>
      <w:tr w14:paraId="0CCD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11B1">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A6D1">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电炸锅</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6081">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1B3C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1000*600*800，材质：面板采用201#1.2mm厚优质不锈钢；余板201#1.0mm厚优质不锈钢技术参数：线盘铜线采用高频丝包线，结构双层并绕感应线盘；驱动芯片具有过流、过载、短路保护功能；磁控开关,精确化控温；机芯壳采用高密度防火材质。特点：形美观大方、结构合理、上热快。</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06B3">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2415">
            <w:pPr>
              <w:jc w:val="center"/>
              <w:rPr>
                <w:rFonts w:hint="eastAsia" w:ascii="等线" w:hAnsi="等线" w:eastAsia="等线" w:cs="等线"/>
                <w:i w:val="0"/>
                <w:iCs w:val="0"/>
                <w:color w:val="000000"/>
                <w:sz w:val="21"/>
                <w:szCs w:val="21"/>
                <w:highlight w:val="none"/>
                <w:u w:val="none"/>
              </w:rPr>
            </w:pPr>
          </w:p>
        </w:tc>
      </w:tr>
      <w:tr w14:paraId="625EF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F9DB">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A15E">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和面机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2B18">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BDE9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材质：凡与食品接触的零件均采用不锈钢制造。技术标准：蜗轮传动\结构紧凑、运转平稳、坚固耐用，高速与低速随心调控，装有安全防护罩。特点：性能稳定，效率高，耗电少，操作方便。</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C02D">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3689">
            <w:pPr>
              <w:jc w:val="center"/>
              <w:rPr>
                <w:rFonts w:hint="eastAsia" w:ascii="等线" w:hAnsi="等线" w:eastAsia="等线" w:cs="等线"/>
                <w:i w:val="0"/>
                <w:iCs w:val="0"/>
                <w:color w:val="000000"/>
                <w:sz w:val="21"/>
                <w:szCs w:val="21"/>
                <w:highlight w:val="none"/>
                <w:u w:val="none"/>
              </w:rPr>
            </w:pPr>
          </w:p>
        </w:tc>
      </w:tr>
      <w:tr w14:paraId="274E2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C680">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B711">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压面机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0F49">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ABE6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外形尺寸550*400*1030，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凡食物接触的面积，采用优质不锈钢板制作技术标准：链条传动；电压及功率：220V/1.5KW；压面厚度：0.5-10mm；压辊尺寸：φ88*280mm特点：压出的面条韧性强度大、耐煮、不易断，整机结构合理，动力强劲，高效率，耗电小。</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9F2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7A3D">
            <w:pPr>
              <w:jc w:val="center"/>
              <w:rPr>
                <w:rFonts w:hint="eastAsia" w:ascii="等线" w:hAnsi="等线" w:eastAsia="等线" w:cs="等线"/>
                <w:i w:val="0"/>
                <w:iCs w:val="0"/>
                <w:color w:val="000000"/>
                <w:sz w:val="21"/>
                <w:szCs w:val="21"/>
                <w:highlight w:val="none"/>
                <w:u w:val="none"/>
              </w:rPr>
            </w:pPr>
          </w:p>
        </w:tc>
      </w:tr>
      <w:tr w14:paraId="1DAE3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F1A7">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332A">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打蛋器</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66F9">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982A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B30，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凡与食品接触的零件均采用不锈钢制造。技术标准：蜗轮传动\结构紧凑、运转平稳、坚固耐用，高速与低速随心调控，装有安全防护罩电压及功率：220V/1.5KW特点：效率高，噪音小，操作简单。材质：机身采用优质不锈钢</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20C3">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BDC1">
            <w:pPr>
              <w:jc w:val="center"/>
              <w:rPr>
                <w:rFonts w:hint="eastAsia" w:ascii="等线" w:hAnsi="等线" w:eastAsia="等线" w:cs="等线"/>
                <w:i w:val="0"/>
                <w:iCs w:val="0"/>
                <w:color w:val="000000"/>
                <w:sz w:val="21"/>
                <w:szCs w:val="21"/>
                <w:highlight w:val="none"/>
                <w:u w:val="none"/>
              </w:rPr>
            </w:pPr>
          </w:p>
        </w:tc>
      </w:tr>
      <w:tr w14:paraId="0348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5DBA">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DA69">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双门醒发箱</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FFD2">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F5C6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外形尺寸1000*680*1800，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箱内热风循环技术使箱内温度均匀、调节准确，营造适宜的发酵环境。特点：节能环保加热快受热均匀操作简单</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BF30">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1BED">
            <w:pPr>
              <w:jc w:val="center"/>
              <w:rPr>
                <w:rFonts w:hint="eastAsia" w:ascii="等线" w:hAnsi="等线" w:eastAsia="等线" w:cs="等线"/>
                <w:i w:val="0"/>
                <w:iCs w:val="0"/>
                <w:color w:val="000000"/>
                <w:sz w:val="21"/>
                <w:szCs w:val="21"/>
                <w:highlight w:val="none"/>
                <w:u w:val="none"/>
              </w:rPr>
            </w:pPr>
          </w:p>
        </w:tc>
      </w:tr>
      <w:tr w14:paraId="4C42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3870">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A2EA">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面案</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90AF">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223B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外形尺寸1800*800*800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材质：专用椴木面板，厚度50mm技术标准：方管38*38mm支撑腿，管壁厚1.0mm，配置不锈钢38*38mm可调节重力子弹脚；特点：卫生整洁、承重力大、衔接牢靠；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4A2E">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C799">
            <w:pPr>
              <w:jc w:val="center"/>
              <w:rPr>
                <w:rFonts w:hint="eastAsia" w:ascii="等线" w:hAnsi="等线" w:eastAsia="等线" w:cs="等线"/>
                <w:i w:val="0"/>
                <w:iCs w:val="0"/>
                <w:color w:val="000000"/>
                <w:sz w:val="21"/>
                <w:szCs w:val="21"/>
                <w:highlight w:val="none"/>
                <w:u w:val="none"/>
              </w:rPr>
            </w:pPr>
          </w:p>
        </w:tc>
      </w:tr>
      <w:tr w14:paraId="37B0C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91DB">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8959">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烤盘架</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B3E5">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7CE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外形尺寸450*600*1600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1、主材采用SUS201不锈钢板材，厚度1.2mm足尺，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2、立柱为φ38*1.2mm足尺不锈钢管，管脚为重力不锈钢调节脚。</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AC1A">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D92C">
            <w:pPr>
              <w:jc w:val="center"/>
              <w:rPr>
                <w:rFonts w:hint="eastAsia" w:ascii="等线" w:hAnsi="等线" w:eastAsia="等线" w:cs="等线"/>
                <w:i w:val="0"/>
                <w:iCs w:val="0"/>
                <w:color w:val="000000"/>
                <w:sz w:val="21"/>
                <w:szCs w:val="21"/>
                <w:highlight w:val="none"/>
                <w:u w:val="none"/>
              </w:rPr>
            </w:pPr>
          </w:p>
        </w:tc>
      </w:tr>
      <w:tr w14:paraId="178AC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3DAE">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593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两孔洗消池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975E">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64E7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外形尺寸1200*700*800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1、SUS201不锈钢板材制作，厚度1.2mm足尺，腿为38*38*1.2mm足尺不锈钢方管制作，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2、带三面围板（SUS304不锈钢，厚度1.2mm足尺），易清洁，不锈钢全钢调整脚。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3、配全不锈钢下水器。</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D147">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1FE2">
            <w:pPr>
              <w:jc w:val="center"/>
              <w:rPr>
                <w:rFonts w:hint="eastAsia" w:ascii="等线" w:hAnsi="等线" w:eastAsia="等线" w:cs="等线"/>
                <w:i w:val="0"/>
                <w:iCs w:val="0"/>
                <w:color w:val="000000"/>
                <w:sz w:val="21"/>
                <w:szCs w:val="21"/>
                <w:highlight w:val="none"/>
                <w:u w:val="none"/>
              </w:rPr>
            </w:pPr>
          </w:p>
        </w:tc>
      </w:tr>
      <w:tr w14:paraId="4358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9C2A">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5508">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3门保鲜柜</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FE91">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C192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外形尺寸1800*700*1900，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材质：机身采用优质不锈钢技术标准：自闭/磁吸门，防冻/磁性胶边；蒸发器：直冷式；电压及功率：220V/0.6KW特点：独立循环制冷，冷却均衡，制冷强劲</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2DAC">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1EF0">
            <w:pPr>
              <w:jc w:val="center"/>
              <w:rPr>
                <w:rFonts w:hint="eastAsia" w:ascii="等线" w:hAnsi="等线" w:eastAsia="等线" w:cs="等线"/>
                <w:i w:val="0"/>
                <w:iCs w:val="0"/>
                <w:color w:val="000000"/>
                <w:sz w:val="21"/>
                <w:szCs w:val="21"/>
                <w:highlight w:val="none"/>
                <w:u w:val="none"/>
              </w:rPr>
            </w:pPr>
          </w:p>
        </w:tc>
      </w:tr>
      <w:tr w14:paraId="332C2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3640">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BA24">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卧式冰柜</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C362">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F642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外形尺寸1945*750*880，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材质：采用优质不锈钢板技术标准：蒸发器：直冷式；配备高效节能制冷机组；电压及功率：220V/0.3KW特点：独立循环制冷，冷却均衡，制冷强劲</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BB1D">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F28E">
            <w:pPr>
              <w:jc w:val="center"/>
              <w:rPr>
                <w:rFonts w:hint="eastAsia" w:ascii="等线" w:hAnsi="等线" w:eastAsia="等线" w:cs="等线"/>
                <w:i w:val="0"/>
                <w:iCs w:val="0"/>
                <w:color w:val="000000"/>
                <w:sz w:val="21"/>
                <w:szCs w:val="21"/>
                <w:highlight w:val="none"/>
                <w:u w:val="none"/>
              </w:rPr>
            </w:pPr>
          </w:p>
        </w:tc>
      </w:tr>
      <w:tr w14:paraId="123B1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1920">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5D21">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洗涤龙头</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6118">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2878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材质：和黄铜材料钢丝编织管组成,外表采用静电喷涂技术标准：参数标准:8-10M长液压管,材料为底碳钢材板厚度分为8MM-3MM,特点：龙头可回弹，使用方便，操作简单</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76A8">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D1FF">
            <w:pPr>
              <w:jc w:val="center"/>
              <w:rPr>
                <w:rFonts w:hint="eastAsia" w:ascii="等线" w:hAnsi="等线" w:eastAsia="等线" w:cs="等线"/>
                <w:i w:val="0"/>
                <w:iCs w:val="0"/>
                <w:color w:val="000000"/>
                <w:sz w:val="21"/>
                <w:szCs w:val="21"/>
                <w:highlight w:val="none"/>
                <w:u w:val="none"/>
              </w:rPr>
            </w:pPr>
          </w:p>
        </w:tc>
      </w:tr>
      <w:tr w14:paraId="0BF76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2EC5">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0F6B">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刀具消毒柜</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E6BB">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FF80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不锈钢材质；单门；紫外线加臭氧消毒</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94C6">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38C4">
            <w:pPr>
              <w:jc w:val="center"/>
              <w:rPr>
                <w:rFonts w:hint="eastAsia" w:ascii="等线" w:hAnsi="等线" w:eastAsia="等线" w:cs="等线"/>
                <w:i w:val="0"/>
                <w:iCs w:val="0"/>
                <w:color w:val="000000"/>
                <w:sz w:val="21"/>
                <w:szCs w:val="21"/>
                <w:highlight w:val="none"/>
                <w:u w:val="none"/>
              </w:rPr>
            </w:pPr>
          </w:p>
        </w:tc>
      </w:tr>
      <w:tr w14:paraId="57252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1929">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2A95">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残食台连车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1DD5">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F873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外形尺寸700*700*800，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材质：面板采用201#1.2mm厚优质不锈钢；余板201#1.0mm厚优质不锈钢技术标准：一体焊接，投料口，带车，配有专用橡胶静音轮，两个定向轮，两个万向轮；特点：卫生整洁、承重力大、衔接牢靠；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128E">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D805">
            <w:pPr>
              <w:jc w:val="center"/>
              <w:rPr>
                <w:rFonts w:hint="eastAsia" w:ascii="等线" w:hAnsi="等线" w:eastAsia="等线" w:cs="等线"/>
                <w:i w:val="0"/>
                <w:iCs w:val="0"/>
                <w:color w:val="000000"/>
                <w:sz w:val="21"/>
                <w:szCs w:val="21"/>
                <w:highlight w:val="none"/>
                <w:u w:val="none"/>
              </w:rPr>
            </w:pPr>
          </w:p>
        </w:tc>
      </w:tr>
      <w:tr w14:paraId="746BD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C810">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B44A">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托盘架</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0FC1">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4</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F021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450*600*1600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1、主材采用SUS201不锈钢板材，厚度1.2mm足尺，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2、立柱为φ38*1.2mm足尺不锈钢管，管脚为重力不锈钢调节脚。</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9834">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181D">
            <w:pPr>
              <w:jc w:val="center"/>
              <w:rPr>
                <w:rFonts w:hint="eastAsia" w:ascii="等线" w:hAnsi="等线" w:eastAsia="等线" w:cs="等线"/>
                <w:i w:val="0"/>
                <w:iCs w:val="0"/>
                <w:color w:val="000000"/>
                <w:sz w:val="21"/>
                <w:szCs w:val="21"/>
                <w:highlight w:val="none"/>
                <w:u w:val="none"/>
              </w:rPr>
            </w:pPr>
          </w:p>
        </w:tc>
      </w:tr>
      <w:tr w14:paraId="4D27D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1425">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副食加工间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4055">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双眼粤灶</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429A">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4</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D491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外形尺寸1800*1000*800，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面板采用201#1.2mm厚优质不锈钢；余板201#1.0mm厚优质不锈钢技术标准：混合式炉头经济节能；主框架采用角钢焊接而成坚固耐用，台面与内胆之间垫有保温隔热棉，灶膛采用特级防火砖及耐火材料镶嵌。电压及功率：220V/0.25KW*2，配气擎，风擎、火种及摇摆式水龙头特点：电子打火，省时，省气，省电，火力猛。一、基本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1、产品尺寸：1800*1000*800。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2鼓风机材质：冷轧冲压钢板，表面静电喷涂；材质厚度：≥0.7mm。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3、灶台炉膛尺寸：外径≥540mm；内径≥ 350mm。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4、产品材质：采用国标201不锈钢拉丝板；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5、板材厚度：1.2mm，钢板厚度1.2厚，侧板201钢板，钢板厚度1.0厚原材料不锈钢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6、气种：天然气。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二、产品性能：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1、设有来水摇摆龙头；前部设有排水槽。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2、炉架选用50mm*50mm*4.8mm（±2mm）角钢，炉架面及炉胆选用2.0mm（±2mm）冷轧钢板制造。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3、炉膛与炮台一体式设计，静音节能燃烧器热效率不低于40%，燃烧噪音≤70分贝, 配安全全自动点火系统。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4、鼓风式风机功率不超过250W*2，双风机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1046">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0860">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一楼2台、二楼2台</w:t>
            </w:r>
          </w:p>
        </w:tc>
      </w:tr>
      <w:tr w14:paraId="1D7A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09CE">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DC0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单孔大锅灶</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0D2E">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CA62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外形尺寸1300*1400*800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材质：优质201不锈钢板材制作，板材厚度1.2MM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额定电压：220V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中压鼓风机功率：0.5kw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产品性能：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设有低噪音铜线风机，配备优质气擎，风擎，火种及节水摇摆龙头，不锈钢防泄漏阀门，不锈钢气量调节阀门；前部设有排水槽；炮台一次压制成型。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炉架选用50mm*50mm*4.8mm（±2mm）201不锈钢，炉架面及炉胆选用2.0mm（±2mm）镀锌钢板制造。台面与内胆之间垫有保温隔热棉，灶膛采用特级防火耐火材料镶嵌。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配备一级安全熄火保护器，全自动点火器，采用专利安全节能炉头，特殊的节能装置，省时，省气，省电，噪音低，火力猛。</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4425">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E669">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一楼1台、二楼1台</w:t>
            </w:r>
          </w:p>
        </w:tc>
      </w:tr>
      <w:tr w14:paraId="09809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3313">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9FC1">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白钢调料车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71F5">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647E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与灶台配套材质：面板采用201#1.2mm厚优质不锈钢；余板201#1.0mm厚优质不锈钢技术标准：一体焊接，方管38*38mm支撑腿，管壁厚1.0mm，配置不锈钢38*38mm可调节重力子弹脚。特点：卫生整洁、承重力大、衔接牢靠。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37D6">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1058">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一楼1台、二楼1台</w:t>
            </w:r>
          </w:p>
        </w:tc>
      </w:tr>
      <w:tr w14:paraId="23901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51E9">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C255">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三层白钢架</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441E">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4</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9EFC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外形尺寸1500*500*1550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1、主材采用SUS201不锈钢板材，厚度1.2mm足尺，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2、立柱为φ38*1.2mm足尺不锈钢管，管脚为重力不锈钢调节脚。</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809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3709">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一楼2台、二楼2台</w:t>
            </w:r>
          </w:p>
        </w:tc>
      </w:tr>
      <w:tr w14:paraId="34CA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205F">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0AF2">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单层白钢操作台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1D91">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F292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外形尺寸1800*800*800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 SUS201不锈钢材质，发纹贴塑处理，台面及层板板壁厚1.2mm足尺（上层背面贴18mm足尺厚201防火板）；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2、圆角模压成型；不锈钢加强筋，加强筋厚1.0mm足尺；腿为38*38方管；配不锈钢可调脚。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3、整体满焊非组装。</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28A5">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066B">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一楼1台、二楼1台</w:t>
            </w:r>
          </w:p>
        </w:tc>
      </w:tr>
      <w:tr w14:paraId="01D0B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A581">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E9B1">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洗涤龙头</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8692">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24A4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材质：和黄铜材料钢丝编织管组成,外表采用静电喷涂技术标准：参数标准:8-10M长液压管,材料为底碳钢材板厚度分为8MM-3MM,特点：龙头可回弹，使用方便，操作简单</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9969">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BC22">
            <w:pPr>
              <w:jc w:val="center"/>
              <w:rPr>
                <w:rFonts w:hint="eastAsia" w:ascii="等线" w:hAnsi="等线" w:eastAsia="等线" w:cs="等线"/>
                <w:i w:val="0"/>
                <w:iCs w:val="0"/>
                <w:color w:val="000000"/>
                <w:sz w:val="21"/>
                <w:szCs w:val="21"/>
                <w:highlight w:val="none"/>
                <w:u w:val="none"/>
              </w:rPr>
            </w:pPr>
          </w:p>
        </w:tc>
      </w:tr>
      <w:tr w14:paraId="4D40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A76A">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5A47">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残食台连车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F10B">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C66B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外形尺寸700*700*800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材质：面板采用201#1.2mm厚优质不锈钢；余板201#1.0mm厚优质不锈钢技术标准：一体焊接，投料口，带车，配有专用橡胶静音轮，两个定向轮，两个万向轮；特点：卫生整洁、承重力大、衔接牢靠；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3B30">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BFBE">
            <w:pPr>
              <w:jc w:val="center"/>
              <w:rPr>
                <w:rFonts w:hint="eastAsia" w:ascii="等线" w:hAnsi="等线" w:eastAsia="等线" w:cs="等线"/>
                <w:i w:val="0"/>
                <w:iCs w:val="0"/>
                <w:color w:val="000000"/>
                <w:sz w:val="21"/>
                <w:szCs w:val="21"/>
                <w:highlight w:val="none"/>
                <w:u w:val="none"/>
              </w:rPr>
            </w:pPr>
          </w:p>
        </w:tc>
      </w:tr>
      <w:tr w14:paraId="093E5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656D">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9387">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两孔洗消池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D365">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E1A1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外形尺寸1200*700*800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1、SUS201不锈钢板材制作，厚度1.2mm足尺，腿为38*38*1.2mm足尺不锈钢方管制作，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2、带三面围板（SUS304不锈钢，厚度1.2mm足尺），易清洁，不锈钢全钢调整脚。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3、配全不锈钢下水器。</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D093">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C0EB">
            <w:pPr>
              <w:jc w:val="center"/>
              <w:rPr>
                <w:rFonts w:hint="eastAsia" w:ascii="等线" w:hAnsi="等线" w:eastAsia="等线" w:cs="等线"/>
                <w:i w:val="0"/>
                <w:iCs w:val="0"/>
                <w:color w:val="000000"/>
                <w:sz w:val="21"/>
                <w:szCs w:val="21"/>
                <w:highlight w:val="none"/>
                <w:u w:val="none"/>
              </w:rPr>
            </w:pPr>
          </w:p>
        </w:tc>
      </w:tr>
      <w:tr w14:paraId="40B1B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6" w:type="pct"/>
            <w:vMerge w:val="restart"/>
            <w:tcBorders>
              <w:top w:val="single" w:color="000000" w:sz="4" w:space="0"/>
              <w:left w:val="single" w:color="000000" w:sz="4" w:space="0"/>
              <w:bottom w:val="nil"/>
              <w:right w:val="single" w:color="000000" w:sz="4" w:space="0"/>
            </w:tcBorders>
            <w:shd w:val="clear" w:color="auto" w:fill="auto"/>
            <w:noWrap/>
            <w:vAlign w:val="center"/>
          </w:tcPr>
          <w:p w14:paraId="7BB28FF7">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粗加工间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2998">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单层白钢操作台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6265">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4</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DA02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外形尺寸1800*800*800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 SUS201不锈钢材质，发纹贴塑处理，台面及层板板壁厚1.2mm足尺（上层背面贴18mm足尺厚201防火板）；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2、圆角模压成型；不锈钢加强筋，加强筋厚1.0mm足尺；腿为38*38方管；配不锈钢可调脚。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3、整体满焊非组装。</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CB51">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9AEA">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一楼2台、二楼2台</w:t>
            </w:r>
          </w:p>
        </w:tc>
      </w:tr>
      <w:tr w14:paraId="75CCE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B109D79">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E203">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两孔洗消池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7D9B">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6</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F96A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外形尺寸1200*700*800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1、SUS201不锈钢板材制作，厚度1.2mm足尺，腿为38*38*1.2mm足尺不锈钢方管制作，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2、带三面围板（SUS304不锈钢，厚度1.2mm足尺），易清洁，不锈钢全钢调整脚。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3、配全不锈钢下水器。</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2FFA">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BE34">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一楼2台、二楼2台</w:t>
            </w:r>
          </w:p>
        </w:tc>
      </w:tr>
      <w:tr w14:paraId="0E597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4A15128">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AFC7">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绞馅机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F7D0">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71C0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整机用优质不锈钢制造，结构紧凑，不锈钢网板技术标准：电压及功率：220V/1.5KW；强大的电机和动力，良好的稳定性能，效率高，耗电少，出肉量大特点：易于去除切割清洗设备，操作简单，方便快捷，配有方向轮，移动整机更方便</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2934">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E39F">
            <w:pPr>
              <w:jc w:val="center"/>
              <w:rPr>
                <w:rFonts w:hint="eastAsia" w:ascii="等线" w:hAnsi="等线" w:eastAsia="等线" w:cs="等线"/>
                <w:i w:val="0"/>
                <w:iCs w:val="0"/>
                <w:color w:val="000000"/>
                <w:sz w:val="21"/>
                <w:szCs w:val="21"/>
                <w:highlight w:val="none"/>
                <w:u w:val="none"/>
              </w:rPr>
            </w:pPr>
          </w:p>
        </w:tc>
      </w:tr>
      <w:tr w14:paraId="75725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BFDE00E">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59859">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单门多功能组合消毒柜</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F9C8">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FF6F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整体不锈钢材质，技术标准：可容纳：厚度≤10厘米砧板5块，刀具12把，毛巾若干；毛巾柜采用紫外线+臭氧双重消毒，红外线烘干；刀具和砧板采用紫外线+臭氧消毒，带循环风；刀具柜带安全锁，刀具把手也可充分消毒。特点：消毒方式：臭氧消毒，紫外线。</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ACF2">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C919">
            <w:pPr>
              <w:jc w:val="center"/>
              <w:rPr>
                <w:rFonts w:hint="eastAsia" w:ascii="等线" w:hAnsi="等线" w:eastAsia="等线" w:cs="等线"/>
                <w:i w:val="0"/>
                <w:iCs w:val="0"/>
                <w:color w:val="000000"/>
                <w:sz w:val="21"/>
                <w:szCs w:val="21"/>
                <w:highlight w:val="none"/>
                <w:u w:val="none"/>
              </w:rPr>
            </w:pPr>
          </w:p>
        </w:tc>
      </w:tr>
      <w:tr w14:paraId="4A070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41D75F5">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94E4">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残食台连车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A927">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56D6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外形尺寸700*700*800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材质：面板采用304#1.2mm厚优质不锈钢；余板201#1.0mm厚优质不锈钢技术标准：一体焊接，投料口，带车，配有专用橡胶静音轮，两个定向轮，两个万向轮；特点：卫生整洁、承重力大、衔接牢靠；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00CA">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1BED">
            <w:pPr>
              <w:jc w:val="center"/>
              <w:rPr>
                <w:rFonts w:hint="eastAsia" w:ascii="等线" w:hAnsi="等线" w:eastAsia="等线" w:cs="等线"/>
                <w:i w:val="0"/>
                <w:iCs w:val="0"/>
                <w:color w:val="000000"/>
                <w:sz w:val="21"/>
                <w:szCs w:val="21"/>
                <w:highlight w:val="none"/>
                <w:u w:val="none"/>
              </w:rPr>
            </w:pPr>
          </w:p>
        </w:tc>
      </w:tr>
      <w:tr w14:paraId="5409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854F7B9">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9788">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三层白钢架</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127B">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4</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7E7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外形尺寸1500*500*1550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1、主材采用SUS201不锈钢板材，厚度1.2mm足尺，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2、立柱为φ38*1.2mm足尺不锈钢管，管脚为重力不锈钢调节脚。</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365E">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ED80">
            <w:pPr>
              <w:jc w:val="center"/>
              <w:rPr>
                <w:rFonts w:hint="eastAsia" w:ascii="等线" w:hAnsi="等线" w:eastAsia="等线" w:cs="等线"/>
                <w:i w:val="0"/>
                <w:iCs w:val="0"/>
                <w:color w:val="000000"/>
                <w:sz w:val="21"/>
                <w:szCs w:val="21"/>
                <w:highlight w:val="none"/>
                <w:u w:val="none"/>
              </w:rPr>
            </w:pPr>
          </w:p>
        </w:tc>
      </w:tr>
      <w:tr w14:paraId="138B1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2096141">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2DA5">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洗涤龙头</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AA1D">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9715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材质：和黄铜材料钢丝编织管组成,外表采用静电喷涂技术标准：参数标准:8-10M长液压管,材料为底碳钢材板厚度分为8MM-3MM,特点：龙头可回弹，使用方便，操作简单</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0F22">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5E02">
            <w:pPr>
              <w:jc w:val="center"/>
              <w:rPr>
                <w:rFonts w:hint="eastAsia" w:ascii="等线" w:hAnsi="等线" w:eastAsia="等线" w:cs="等线"/>
                <w:i w:val="0"/>
                <w:iCs w:val="0"/>
                <w:color w:val="000000"/>
                <w:sz w:val="21"/>
                <w:szCs w:val="21"/>
                <w:highlight w:val="none"/>
                <w:u w:val="none"/>
              </w:rPr>
            </w:pPr>
          </w:p>
        </w:tc>
      </w:tr>
      <w:tr w14:paraId="4E548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255D">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主食库房</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0815">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三层白钢架</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0F21">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4</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E9C3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外形尺寸1500*500*1550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1、主材采用SUS201不锈钢板材，厚度1.2mm足尺，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2、立柱为φ38*1.2mm足尺不锈钢管，管脚为重力不锈钢调节脚。</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76CC">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AB27">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1楼2台、2楼2台</w:t>
            </w:r>
          </w:p>
        </w:tc>
      </w:tr>
      <w:tr w14:paraId="1790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7E8B">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D444">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一层白钢货架</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B57E">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2CA9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外形尺寸1500*500*250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1、材料：采用SUS201不锈钢方管 38*25*1.2mm足尺不锈钢方管制作；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2、立柱采用Ф38*1.2mm足尺不锈钢圆管制作，配可调平脚。</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BF9C">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58CA">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1楼6台、2楼2台</w:t>
            </w:r>
          </w:p>
        </w:tc>
      </w:tr>
      <w:tr w14:paraId="255EB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restart"/>
            <w:tcBorders>
              <w:top w:val="single" w:color="000000" w:sz="4" w:space="0"/>
              <w:left w:val="single" w:color="000000" w:sz="4" w:space="0"/>
              <w:bottom w:val="nil"/>
              <w:right w:val="single" w:color="000000" w:sz="4" w:space="0"/>
            </w:tcBorders>
            <w:shd w:val="clear" w:color="auto" w:fill="auto"/>
            <w:noWrap/>
            <w:vAlign w:val="center"/>
          </w:tcPr>
          <w:p w14:paraId="16B74A68">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副食库房</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C48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三层白钢架</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1C84">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10</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2C58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外形尺寸1500*500*1550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1、主材采用SUS201不锈钢板材，厚度1.2mm足尺，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2、立柱为φ38*1.2mm足尺不锈钢管，管脚为重力不锈钢调节脚。</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DE3D">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9754">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1楼6台、2楼2台</w:t>
            </w:r>
          </w:p>
        </w:tc>
      </w:tr>
      <w:tr w14:paraId="4FA40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08F2D36">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8A7B">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四门冰柜</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E294">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6</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A887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外形尺寸1200*760*1960，技术标准：自闭/磁吸门，防冻/磁性胶边；双压缩机；电压及功率：220V/0.8KW特点：独立循环制冷，冷却均衡，制冷强劲</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0107">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F84D">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1楼4台、2楼2台</w:t>
            </w:r>
          </w:p>
        </w:tc>
      </w:tr>
      <w:tr w14:paraId="5BF03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AE2B2A5">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EA4C">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三门保鲜</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C119">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6</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0435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采用优质不锈钢板制作，玻璃柜门：自闭/磁吸门，防冻/磁性胶边；内壁为钢板，配备高效节能制冷机组；温度：0℃～10℃，电压及电功率:220V/320W，全钢铜管。</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A575">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C892">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1楼4台、2楼2台</w:t>
            </w:r>
          </w:p>
        </w:tc>
      </w:tr>
      <w:tr w14:paraId="2C198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8EF55A8">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73CD">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三层平板餐车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0A74">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20</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83E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外形尺寸900*500*900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材质：采用201#1.2mm厚优质不锈钢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技术标准：配生胶静音轮，两个定向轮，两个万向轮。特点：卫生整洁、承重力大、衔接牢靠。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4281">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4F6A">
            <w:pPr>
              <w:jc w:val="center"/>
              <w:rPr>
                <w:rFonts w:hint="eastAsia" w:ascii="等线" w:hAnsi="等线" w:eastAsia="等线" w:cs="等线"/>
                <w:i w:val="0"/>
                <w:iCs w:val="0"/>
                <w:color w:val="000000"/>
                <w:sz w:val="21"/>
                <w:szCs w:val="21"/>
                <w:highlight w:val="none"/>
                <w:u w:val="none"/>
              </w:rPr>
            </w:pPr>
          </w:p>
        </w:tc>
      </w:tr>
      <w:tr w14:paraId="33A39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68BF1D8">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7BE5">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灭蚊灯</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0087">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6</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5F03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材质：铝合金及ABS耐热工程塑料制造；技术标准：紫光灯管：2W两根。</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73A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0B6D">
            <w:pPr>
              <w:jc w:val="center"/>
              <w:rPr>
                <w:rFonts w:hint="eastAsia" w:ascii="等线" w:hAnsi="等线" w:eastAsia="等线" w:cs="等线"/>
                <w:i w:val="0"/>
                <w:iCs w:val="0"/>
                <w:color w:val="000000"/>
                <w:sz w:val="21"/>
                <w:szCs w:val="21"/>
                <w:highlight w:val="none"/>
                <w:u w:val="none"/>
              </w:rPr>
            </w:pPr>
          </w:p>
        </w:tc>
      </w:tr>
      <w:tr w14:paraId="718D4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9721ADB">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FF1C">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紫外线消毒灯</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0E7D">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E4C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材质：防爆玻璃管体，密封保护头技术标准：250nm-260m波长杀菌</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56E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D388">
            <w:pPr>
              <w:jc w:val="center"/>
              <w:rPr>
                <w:rFonts w:hint="eastAsia" w:ascii="等线" w:hAnsi="等线" w:eastAsia="等线" w:cs="等线"/>
                <w:i w:val="0"/>
                <w:iCs w:val="0"/>
                <w:color w:val="000000"/>
                <w:sz w:val="21"/>
                <w:szCs w:val="21"/>
                <w:highlight w:val="none"/>
                <w:u w:val="none"/>
              </w:rPr>
            </w:pPr>
          </w:p>
        </w:tc>
      </w:tr>
      <w:tr w14:paraId="64BCD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8970E14">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F599">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一层平板车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20B6">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6</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E24E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外形尺寸900*600*800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材质：采用201#1.2mm厚优质不锈钢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技术标准：配生胶静音轮，两个定向轮，两个万向轮。特点：卫生整洁、承重力大、衔接牢靠。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2FE1">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C3DB">
            <w:pPr>
              <w:jc w:val="center"/>
              <w:rPr>
                <w:rFonts w:hint="eastAsia" w:ascii="等线" w:hAnsi="等线" w:eastAsia="等线" w:cs="等线"/>
                <w:i w:val="0"/>
                <w:iCs w:val="0"/>
                <w:color w:val="000000"/>
                <w:sz w:val="21"/>
                <w:szCs w:val="21"/>
                <w:highlight w:val="none"/>
                <w:u w:val="none"/>
              </w:rPr>
            </w:pPr>
          </w:p>
        </w:tc>
      </w:tr>
      <w:tr w14:paraId="717B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892D70E">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75EA">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筷子消毒车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3BE9">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6</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DF08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1.优质加厚不锈钢板材，进口液压杆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2.消毒时间和温度自由调节，操作方便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3.超大容量，可以放700-1000双高度＜350MM的筷子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4.底部配万向轮，移动方便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5.紫外线+臭氧消毒 红外线烘干。</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D416">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3581">
            <w:pPr>
              <w:jc w:val="center"/>
              <w:rPr>
                <w:rFonts w:hint="eastAsia" w:ascii="等线" w:hAnsi="等线" w:eastAsia="等线" w:cs="等线"/>
                <w:i w:val="0"/>
                <w:iCs w:val="0"/>
                <w:color w:val="000000"/>
                <w:sz w:val="21"/>
                <w:szCs w:val="21"/>
                <w:highlight w:val="none"/>
                <w:u w:val="none"/>
              </w:rPr>
            </w:pPr>
          </w:p>
        </w:tc>
      </w:tr>
      <w:tr w14:paraId="74044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9574">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餐厅</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38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厨房餐厅用具</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1F7D">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E52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餐具等</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67D6">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套</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C626">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见详单</w:t>
            </w:r>
          </w:p>
        </w:tc>
      </w:tr>
      <w:tr w14:paraId="1B314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0A62">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23AE">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残食回收车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1238">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4</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DDBE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尺寸500*900*900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材质：采用201#1.2mm厚优质不锈钢，下配优质带刹车万向轮。</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6D34">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A0D6">
            <w:pPr>
              <w:jc w:val="center"/>
              <w:rPr>
                <w:rFonts w:hint="eastAsia" w:ascii="等线" w:hAnsi="等线" w:eastAsia="等线" w:cs="等线"/>
                <w:i w:val="0"/>
                <w:iCs w:val="0"/>
                <w:color w:val="000000"/>
                <w:sz w:val="21"/>
                <w:szCs w:val="21"/>
                <w:highlight w:val="none"/>
                <w:u w:val="none"/>
              </w:rPr>
            </w:pPr>
          </w:p>
        </w:tc>
      </w:tr>
    </w:tbl>
    <w:p w14:paraId="600F5DC3">
      <w:pPr>
        <w:spacing w:line="300" w:lineRule="auto"/>
        <w:rPr>
          <w:rFonts w:hint="eastAsia" w:ascii="宋体" w:hAnsi="宋体"/>
          <w:b/>
          <w:color w:val="auto"/>
          <w:sz w:val="24"/>
          <w:szCs w:val="24"/>
          <w:highlight w:val="none"/>
        </w:rPr>
      </w:pPr>
    </w:p>
    <w:p w14:paraId="4E173ACA">
      <w:pPr>
        <w:spacing w:line="300" w:lineRule="auto"/>
        <w:rPr>
          <w:rFonts w:hint="eastAsia" w:ascii="宋体" w:hAnsi="宋体"/>
          <w:b/>
          <w:color w:val="auto"/>
          <w:sz w:val="24"/>
          <w:szCs w:val="24"/>
          <w:highlight w:val="none"/>
        </w:rPr>
      </w:pPr>
    </w:p>
    <w:p w14:paraId="54C1DDC6">
      <w:pPr>
        <w:spacing w:line="300" w:lineRule="auto"/>
        <w:rPr>
          <w:rFonts w:hint="eastAsia" w:ascii="宋体" w:hAnsi="宋体"/>
          <w:b/>
          <w:color w:val="auto"/>
          <w:sz w:val="24"/>
          <w:szCs w:val="24"/>
          <w:highlight w:val="none"/>
        </w:rPr>
      </w:pPr>
    </w:p>
    <w:p w14:paraId="323AD093">
      <w:pPr>
        <w:spacing w:line="300" w:lineRule="auto"/>
        <w:rPr>
          <w:rFonts w:hint="eastAsia" w:ascii="宋体" w:hAnsi="宋体"/>
          <w:b/>
          <w:color w:val="auto"/>
          <w:sz w:val="24"/>
          <w:szCs w:val="24"/>
          <w:highlight w:val="none"/>
        </w:rPr>
      </w:pPr>
    </w:p>
    <w:p w14:paraId="688A85BA">
      <w:pPr>
        <w:spacing w:line="300" w:lineRule="auto"/>
        <w:rPr>
          <w:rFonts w:hint="eastAsia" w:ascii="宋体" w:hAnsi="宋体"/>
          <w:b/>
          <w:color w:val="auto"/>
          <w:sz w:val="24"/>
          <w:szCs w:val="24"/>
          <w:highlight w:val="none"/>
        </w:rPr>
      </w:pPr>
    </w:p>
    <w:p w14:paraId="7E5D3DA3">
      <w:pPr>
        <w:spacing w:line="300" w:lineRule="auto"/>
        <w:rPr>
          <w:rFonts w:hint="eastAsia" w:ascii="宋体" w:hAnsi="宋体"/>
          <w:b/>
          <w:color w:val="auto"/>
          <w:sz w:val="24"/>
          <w:szCs w:val="24"/>
          <w:highlight w:val="none"/>
        </w:rPr>
      </w:pPr>
    </w:p>
    <w:p w14:paraId="08083584">
      <w:pPr>
        <w:spacing w:line="300" w:lineRule="auto"/>
        <w:rPr>
          <w:rFonts w:hint="eastAsia" w:ascii="宋体" w:hAnsi="宋体"/>
          <w:b/>
          <w:color w:val="auto"/>
          <w:sz w:val="24"/>
          <w:szCs w:val="24"/>
          <w:highlight w:val="none"/>
        </w:rPr>
      </w:pPr>
    </w:p>
    <w:p w14:paraId="7DC39AD6">
      <w:pPr>
        <w:spacing w:line="300" w:lineRule="auto"/>
        <w:rPr>
          <w:rFonts w:hint="eastAsia" w:ascii="宋体" w:hAnsi="宋体"/>
          <w:b/>
          <w:color w:val="auto"/>
          <w:sz w:val="24"/>
          <w:szCs w:val="24"/>
          <w:highlight w:val="none"/>
        </w:rPr>
      </w:pPr>
    </w:p>
    <w:p w14:paraId="5279EACA">
      <w:pPr>
        <w:spacing w:line="300" w:lineRule="auto"/>
        <w:rPr>
          <w:rFonts w:hint="eastAsia" w:ascii="宋体" w:hAnsi="宋体"/>
          <w:b/>
          <w:color w:val="auto"/>
          <w:sz w:val="24"/>
          <w:szCs w:val="24"/>
          <w:highlight w:val="none"/>
        </w:rPr>
      </w:pPr>
    </w:p>
    <w:p w14:paraId="66CE11D5">
      <w:pPr>
        <w:spacing w:line="300" w:lineRule="auto"/>
        <w:rPr>
          <w:rFonts w:hint="eastAsia" w:ascii="宋体" w:hAnsi="宋体"/>
          <w:b/>
          <w:color w:val="auto"/>
          <w:sz w:val="24"/>
          <w:szCs w:val="24"/>
          <w:highlight w:val="none"/>
        </w:rPr>
      </w:pPr>
    </w:p>
    <w:tbl>
      <w:tblPr>
        <w:tblStyle w:val="4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3"/>
        <w:gridCol w:w="3051"/>
        <w:gridCol w:w="2090"/>
        <w:gridCol w:w="3463"/>
      </w:tblGrid>
      <w:tr w14:paraId="3B003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00" w:type="pct"/>
            <w:gridSpan w:val="4"/>
            <w:tcBorders>
              <w:top w:val="nil"/>
              <w:left w:val="nil"/>
              <w:bottom w:val="nil"/>
              <w:right w:val="nil"/>
            </w:tcBorders>
            <w:shd w:val="clear" w:color="auto" w:fill="auto"/>
            <w:vAlign w:val="center"/>
          </w:tcPr>
          <w:p w14:paraId="1EEF394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繁荣校区食堂餐具采购清单</w:t>
            </w:r>
          </w:p>
        </w:tc>
      </w:tr>
      <w:tr w14:paraId="59DA4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8F9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号</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2F1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称</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F4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量</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20B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注</w:t>
            </w:r>
          </w:p>
        </w:tc>
      </w:tr>
      <w:tr w14:paraId="62C6D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F3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3D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餐盘</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24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FEBBF">
            <w:pPr>
              <w:jc w:val="center"/>
              <w:rPr>
                <w:rFonts w:hint="eastAsia" w:ascii="宋体" w:hAnsi="宋体" w:eastAsia="宋体" w:cs="宋体"/>
                <w:i w:val="0"/>
                <w:iCs w:val="0"/>
                <w:color w:val="000000"/>
                <w:sz w:val="20"/>
                <w:szCs w:val="20"/>
                <w:u w:val="none"/>
              </w:rPr>
            </w:pPr>
          </w:p>
        </w:tc>
      </w:tr>
      <w:tr w14:paraId="0F793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96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C2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筷子</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22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8A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合金</w:t>
            </w:r>
          </w:p>
        </w:tc>
      </w:tr>
      <w:tr w14:paraId="24E66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BC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57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汤勺</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9E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EB0AF">
            <w:pPr>
              <w:jc w:val="center"/>
              <w:rPr>
                <w:rFonts w:hint="eastAsia" w:ascii="宋体" w:hAnsi="宋体" w:eastAsia="宋体" w:cs="宋体"/>
                <w:i w:val="0"/>
                <w:iCs w:val="0"/>
                <w:color w:val="000000"/>
                <w:sz w:val="20"/>
                <w:szCs w:val="20"/>
                <w:u w:val="none"/>
              </w:rPr>
            </w:pPr>
          </w:p>
        </w:tc>
      </w:tr>
      <w:tr w14:paraId="3164B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14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A5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不锈钢碗</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3B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D401B">
            <w:pPr>
              <w:jc w:val="center"/>
              <w:rPr>
                <w:rFonts w:hint="eastAsia" w:ascii="宋体" w:hAnsi="宋体" w:eastAsia="宋体" w:cs="宋体"/>
                <w:i w:val="0"/>
                <w:iCs w:val="0"/>
                <w:color w:val="000000"/>
                <w:sz w:val="20"/>
                <w:szCs w:val="20"/>
                <w:u w:val="none"/>
              </w:rPr>
            </w:pPr>
          </w:p>
        </w:tc>
      </w:tr>
      <w:tr w14:paraId="66CE2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8A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9B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自钢槽</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8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A7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1/1-15深</w:t>
            </w:r>
          </w:p>
        </w:tc>
      </w:tr>
      <w:tr w14:paraId="04DF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84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4A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1/2白钢槽</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2D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12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1/2-15深</w:t>
            </w:r>
          </w:p>
        </w:tc>
      </w:tr>
      <w:tr w14:paraId="05AA1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09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8C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净菜筐</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95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1A2DD">
            <w:pPr>
              <w:jc w:val="center"/>
              <w:rPr>
                <w:rFonts w:hint="eastAsia" w:ascii="宋体" w:hAnsi="宋体" w:eastAsia="宋体" w:cs="宋体"/>
                <w:i w:val="0"/>
                <w:iCs w:val="0"/>
                <w:color w:val="000000"/>
                <w:sz w:val="20"/>
                <w:szCs w:val="20"/>
                <w:u w:val="none"/>
              </w:rPr>
            </w:pPr>
          </w:p>
        </w:tc>
      </w:tr>
      <w:tr w14:paraId="418DD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91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90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蓝菜筐</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38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2573D">
            <w:pPr>
              <w:jc w:val="center"/>
              <w:rPr>
                <w:rFonts w:hint="eastAsia" w:ascii="宋体" w:hAnsi="宋体" w:eastAsia="宋体" w:cs="宋体"/>
                <w:i w:val="0"/>
                <w:iCs w:val="0"/>
                <w:color w:val="000000"/>
                <w:sz w:val="20"/>
                <w:szCs w:val="20"/>
                <w:u w:val="none"/>
              </w:rPr>
            </w:pPr>
          </w:p>
        </w:tc>
      </w:tr>
      <w:tr w14:paraId="43A23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F1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93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垃圾桶带盖</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35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12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120升</w:t>
            </w:r>
          </w:p>
        </w:tc>
      </w:tr>
      <w:tr w14:paraId="1FD1D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2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74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菜刀</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72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77722">
            <w:pPr>
              <w:jc w:val="center"/>
              <w:rPr>
                <w:rFonts w:hint="eastAsia" w:ascii="宋体" w:hAnsi="宋体" w:eastAsia="宋体" w:cs="宋体"/>
                <w:i w:val="0"/>
                <w:iCs w:val="0"/>
                <w:color w:val="000000"/>
                <w:sz w:val="20"/>
                <w:szCs w:val="20"/>
                <w:u w:val="none"/>
              </w:rPr>
            </w:pPr>
          </w:p>
        </w:tc>
      </w:tr>
      <w:tr w14:paraId="744F4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14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A6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菜板</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35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58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60*40*2</w:t>
            </w:r>
          </w:p>
        </w:tc>
      </w:tr>
      <w:tr w14:paraId="67789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5B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6A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60边锅</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78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2E5DC">
            <w:pPr>
              <w:jc w:val="center"/>
              <w:rPr>
                <w:rFonts w:hint="eastAsia" w:ascii="宋体" w:hAnsi="宋体" w:eastAsia="宋体" w:cs="宋体"/>
                <w:i w:val="0"/>
                <w:iCs w:val="0"/>
                <w:color w:val="000000"/>
                <w:sz w:val="20"/>
                <w:szCs w:val="20"/>
                <w:u w:val="none"/>
              </w:rPr>
            </w:pPr>
          </w:p>
        </w:tc>
      </w:tr>
      <w:tr w14:paraId="771E5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ED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2E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砍骨刀</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3E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F6A75">
            <w:pPr>
              <w:jc w:val="center"/>
              <w:rPr>
                <w:rFonts w:hint="eastAsia" w:ascii="宋体" w:hAnsi="宋体" w:eastAsia="宋体" w:cs="宋体"/>
                <w:i w:val="0"/>
                <w:iCs w:val="0"/>
                <w:color w:val="000000"/>
                <w:sz w:val="20"/>
                <w:szCs w:val="20"/>
                <w:u w:val="none"/>
              </w:rPr>
            </w:pPr>
          </w:p>
        </w:tc>
      </w:tr>
      <w:tr w14:paraId="23618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74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2D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60白钢桶</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9D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1C5D4">
            <w:pPr>
              <w:jc w:val="center"/>
              <w:rPr>
                <w:rFonts w:hint="eastAsia" w:ascii="宋体" w:hAnsi="宋体" w:eastAsia="宋体" w:cs="宋体"/>
                <w:i w:val="0"/>
                <w:iCs w:val="0"/>
                <w:color w:val="000000"/>
                <w:sz w:val="20"/>
                <w:szCs w:val="20"/>
                <w:u w:val="none"/>
              </w:rPr>
            </w:pPr>
          </w:p>
        </w:tc>
      </w:tr>
      <w:tr w14:paraId="26E5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40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0A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大电饭锅</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E4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1A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23L</w:t>
            </w:r>
          </w:p>
        </w:tc>
      </w:tr>
      <w:tr w14:paraId="0A1A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B3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D7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8两手勺</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AA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0DD64">
            <w:pPr>
              <w:jc w:val="center"/>
              <w:rPr>
                <w:rFonts w:hint="eastAsia" w:ascii="宋体" w:hAnsi="宋体" w:eastAsia="宋体" w:cs="宋体"/>
                <w:i w:val="0"/>
                <w:iCs w:val="0"/>
                <w:color w:val="000000"/>
                <w:sz w:val="20"/>
                <w:szCs w:val="20"/>
                <w:u w:val="none"/>
              </w:rPr>
            </w:pPr>
          </w:p>
        </w:tc>
      </w:tr>
      <w:tr w14:paraId="6F03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8B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0F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大称</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15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51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150KG</w:t>
            </w:r>
          </w:p>
        </w:tc>
      </w:tr>
      <w:tr w14:paraId="591D8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BD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4A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小称</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0E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A4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30KG</w:t>
            </w:r>
          </w:p>
        </w:tc>
      </w:tr>
      <w:tr w14:paraId="6953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81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5D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D3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54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面食间1.8*2/1800*800*40</w:t>
            </w:r>
          </w:p>
        </w:tc>
      </w:tr>
      <w:tr w14:paraId="49DFA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A4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DF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2两打餐勺</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C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0EED3">
            <w:pPr>
              <w:jc w:val="center"/>
              <w:rPr>
                <w:rFonts w:hint="eastAsia" w:ascii="宋体" w:hAnsi="宋体" w:eastAsia="宋体" w:cs="宋体"/>
                <w:i w:val="0"/>
                <w:iCs w:val="0"/>
                <w:color w:val="000000"/>
                <w:sz w:val="20"/>
                <w:szCs w:val="20"/>
                <w:u w:val="none"/>
              </w:rPr>
            </w:pPr>
          </w:p>
        </w:tc>
      </w:tr>
      <w:tr w14:paraId="0EED9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7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FD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保温桶</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67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6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40L</w:t>
            </w:r>
          </w:p>
        </w:tc>
      </w:tr>
      <w:tr w14:paraId="1EE3A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FD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5D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汤桶</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49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E4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40L</w:t>
            </w:r>
          </w:p>
        </w:tc>
      </w:tr>
      <w:tr w14:paraId="467EE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FA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31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高压锅</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85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1E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36L</w:t>
            </w:r>
          </w:p>
        </w:tc>
      </w:tr>
      <w:tr w14:paraId="6040A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D9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70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加热台</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BA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D4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教工/（南洋精工品牌自助餐炉）</w:t>
            </w:r>
          </w:p>
        </w:tc>
      </w:tr>
      <w:tr w14:paraId="72C5A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ED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E0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白瓷盘</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2D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CF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9寸</w:t>
            </w:r>
          </w:p>
        </w:tc>
      </w:tr>
      <w:tr w14:paraId="3B843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91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B0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瓷碗</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7D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3D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2两</w:t>
            </w:r>
          </w:p>
        </w:tc>
      </w:tr>
      <w:tr w14:paraId="15531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DC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82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筷子机</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F0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40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赠送200双筷子</w:t>
            </w:r>
          </w:p>
        </w:tc>
      </w:tr>
      <w:tr w14:paraId="4C4C3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41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B1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果盘</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B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80A6D">
            <w:pPr>
              <w:jc w:val="center"/>
              <w:rPr>
                <w:rFonts w:hint="eastAsia" w:ascii="宋体" w:hAnsi="宋体" w:eastAsia="宋体" w:cs="宋体"/>
                <w:i w:val="0"/>
                <w:iCs w:val="0"/>
                <w:color w:val="000000"/>
                <w:sz w:val="20"/>
                <w:szCs w:val="20"/>
                <w:u w:val="none"/>
              </w:rPr>
            </w:pPr>
          </w:p>
        </w:tc>
      </w:tr>
      <w:tr w14:paraId="1BDCC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4F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97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夹子</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C7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55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3014钢</w:t>
            </w:r>
          </w:p>
        </w:tc>
      </w:tr>
      <w:tr w14:paraId="62990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85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EE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茶杯</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38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75C03">
            <w:pPr>
              <w:jc w:val="center"/>
              <w:rPr>
                <w:rFonts w:hint="eastAsia" w:ascii="宋体" w:hAnsi="宋体" w:eastAsia="宋体" w:cs="宋体"/>
                <w:i w:val="0"/>
                <w:iCs w:val="0"/>
                <w:color w:val="000000"/>
                <w:sz w:val="20"/>
                <w:szCs w:val="20"/>
                <w:u w:val="none"/>
              </w:rPr>
            </w:pPr>
          </w:p>
        </w:tc>
      </w:tr>
      <w:tr w14:paraId="33E00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36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F3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骨碟</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85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24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6寸</w:t>
            </w:r>
          </w:p>
        </w:tc>
      </w:tr>
      <w:tr w14:paraId="3F007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DE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49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味碟</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DC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31C5">
            <w:pPr>
              <w:jc w:val="center"/>
              <w:rPr>
                <w:rFonts w:hint="eastAsia" w:ascii="宋体" w:hAnsi="宋体" w:eastAsia="宋体" w:cs="宋体"/>
                <w:i w:val="0"/>
                <w:iCs w:val="0"/>
                <w:color w:val="000000"/>
                <w:sz w:val="20"/>
                <w:szCs w:val="20"/>
                <w:u w:val="none"/>
              </w:rPr>
            </w:pPr>
          </w:p>
        </w:tc>
      </w:tr>
      <w:tr w14:paraId="428B7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A7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6F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花边瓷盘</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D8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F63EF">
            <w:pPr>
              <w:jc w:val="center"/>
              <w:rPr>
                <w:rFonts w:hint="eastAsia" w:ascii="宋体" w:hAnsi="宋体" w:eastAsia="宋体" w:cs="宋体"/>
                <w:i w:val="0"/>
                <w:iCs w:val="0"/>
                <w:color w:val="000000"/>
                <w:sz w:val="20"/>
                <w:szCs w:val="20"/>
                <w:u w:val="none"/>
              </w:rPr>
            </w:pPr>
          </w:p>
        </w:tc>
      </w:tr>
      <w:tr w14:paraId="61F2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EE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76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鱼盘</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A6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D53B">
            <w:pPr>
              <w:jc w:val="center"/>
              <w:rPr>
                <w:rFonts w:hint="eastAsia" w:ascii="宋体" w:hAnsi="宋体" w:eastAsia="宋体" w:cs="宋体"/>
                <w:i w:val="0"/>
                <w:iCs w:val="0"/>
                <w:color w:val="000000"/>
                <w:sz w:val="20"/>
                <w:szCs w:val="20"/>
                <w:u w:val="none"/>
              </w:rPr>
            </w:pPr>
          </w:p>
        </w:tc>
      </w:tr>
      <w:tr w14:paraId="57A34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37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77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汤碗</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08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5BB58">
            <w:pPr>
              <w:jc w:val="center"/>
              <w:rPr>
                <w:rFonts w:hint="eastAsia" w:ascii="宋体" w:hAnsi="宋体" w:eastAsia="宋体" w:cs="宋体"/>
                <w:i w:val="0"/>
                <w:iCs w:val="0"/>
                <w:color w:val="000000"/>
                <w:sz w:val="20"/>
                <w:szCs w:val="20"/>
                <w:u w:val="none"/>
              </w:rPr>
            </w:pPr>
          </w:p>
        </w:tc>
      </w:tr>
      <w:tr w14:paraId="78142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4E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D4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筷架</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CB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13DCC">
            <w:pPr>
              <w:jc w:val="center"/>
              <w:rPr>
                <w:rFonts w:hint="eastAsia" w:ascii="宋体" w:hAnsi="宋体" w:eastAsia="宋体" w:cs="宋体"/>
                <w:i w:val="0"/>
                <w:iCs w:val="0"/>
                <w:color w:val="000000"/>
                <w:sz w:val="20"/>
                <w:szCs w:val="20"/>
                <w:u w:val="none"/>
              </w:rPr>
            </w:pPr>
          </w:p>
        </w:tc>
      </w:tr>
      <w:tr w14:paraId="5DACE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1C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6E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茶壶</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A6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60CEF">
            <w:pPr>
              <w:jc w:val="center"/>
              <w:rPr>
                <w:rFonts w:hint="eastAsia" w:ascii="宋体" w:hAnsi="宋体" w:eastAsia="宋体" w:cs="宋体"/>
                <w:i w:val="0"/>
                <w:iCs w:val="0"/>
                <w:color w:val="000000"/>
                <w:sz w:val="20"/>
                <w:szCs w:val="20"/>
                <w:u w:val="none"/>
              </w:rPr>
            </w:pPr>
          </w:p>
        </w:tc>
      </w:tr>
    </w:tbl>
    <w:p w14:paraId="5CD2DD48">
      <w:pPr>
        <w:spacing w:line="300" w:lineRule="auto"/>
        <w:rPr>
          <w:rFonts w:hint="eastAsia" w:ascii="宋体" w:hAnsi="宋体"/>
          <w:b/>
          <w:color w:val="auto"/>
          <w:sz w:val="24"/>
          <w:szCs w:val="24"/>
          <w:highlight w:val="none"/>
        </w:rPr>
      </w:pPr>
    </w:p>
    <w:p w14:paraId="46FA7987">
      <w:pP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color w:val="auto"/>
          <w:sz w:val="36"/>
          <w:szCs w:val="36"/>
          <w:highlight w:val="none"/>
          <w:lang w:val="en-US" w:eastAsia="zh-CN"/>
        </w:rPr>
        <w:t>注：</w:t>
      </w:r>
      <w:r>
        <w:rPr>
          <w:rFonts w:hint="eastAsia" w:ascii="宋体" w:hAnsi="宋体" w:eastAsia="宋体" w:cs="宋体"/>
          <w:b/>
          <w:bCs/>
          <w:i w:val="0"/>
          <w:iCs w:val="0"/>
          <w:color w:val="000000"/>
          <w:kern w:val="0"/>
          <w:sz w:val="21"/>
          <w:szCs w:val="21"/>
          <w:highlight w:val="none"/>
          <w:u w:val="none"/>
          <w:lang w:val="en-US" w:eastAsia="zh-CN" w:bidi="ar"/>
        </w:rPr>
        <w:t>以上设备</w:t>
      </w:r>
      <w:r>
        <w:rPr>
          <w:rFonts w:hint="eastAsia" w:ascii="宋体" w:hAnsi="宋体" w:cs="宋体"/>
          <w:b/>
          <w:bCs/>
          <w:i w:val="0"/>
          <w:iCs w:val="0"/>
          <w:color w:val="000000"/>
          <w:kern w:val="0"/>
          <w:sz w:val="21"/>
          <w:szCs w:val="21"/>
          <w:highlight w:val="none"/>
          <w:u w:val="none"/>
          <w:lang w:val="en-US" w:eastAsia="zh-CN" w:bidi="ar"/>
        </w:rPr>
        <w:t>要求</w:t>
      </w:r>
      <w:r>
        <w:rPr>
          <w:rFonts w:hint="eastAsia" w:ascii="宋体" w:hAnsi="宋体" w:eastAsia="宋体" w:cs="宋体"/>
          <w:b/>
          <w:bCs/>
          <w:i w:val="0"/>
          <w:iCs w:val="0"/>
          <w:color w:val="000000"/>
          <w:kern w:val="0"/>
          <w:sz w:val="21"/>
          <w:szCs w:val="21"/>
          <w:highlight w:val="none"/>
          <w:u w:val="none"/>
          <w:lang w:val="en-US" w:eastAsia="zh-CN" w:bidi="ar"/>
        </w:rPr>
        <w:t>须全部满足，不允许有缺项或负偏离，否则将导致投标被否决。</w:t>
      </w:r>
    </w:p>
    <w:p w14:paraId="4BB993BA">
      <w:pPr>
        <w:rPr>
          <w:rFonts w:hint="eastAsia" w:ascii="宋体" w:hAnsi="宋体" w:eastAsia="宋体" w:cs="宋体"/>
          <w:i w:val="0"/>
          <w:iCs w:val="0"/>
          <w:color w:val="000000"/>
          <w:kern w:val="0"/>
          <w:sz w:val="21"/>
          <w:szCs w:val="21"/>
          <w:highlight w:val="none"/>
          <w:u w:val="none"/>
          <w:lang w:val="en-US" w:eastAsia="zh-CN" w:bidi="ar"/>
        </w:rPr>
      </w:pPr>
    </w:p>
    <w:p w14:paraId="686B91E0">
      <w:pPr>
        <w:rPr>
          <w:rFonts w:hint="eastAsia" w:ascii="宋体" w:hAnsi="宋体" w:cs="宋体"/>
          <w:b/>
          <w:bCs/>
          <w:color w:val="auto"/>
          <w:sz w:val="36"/>
          <w:szCs w:val="36"/>
          <w:highlight w:val="none"/>
          <w:lang w:val="en-US" w:eastAsia="zh-CN"/>
        </w:rPr>
      </w:pPr>
    </w:p>
    <w:p w14:paraId="037D8087">
      <w:pPr>
        <w:rPr>
          <w:rFonts w:hint="eastAsia" w:ascii="宋体" w:hAnsi="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二：技术要求</w:t>
      </w:r>
    </w:p>
    <w:p w14:paraId="5B3031D1">
      <w:pPr>
        <w:rPr>
          <w:rFonts w:hint="eastAsia" w:ascii="宋体" w:hAnsi="宋体" w:eastAsia="宋体" w:cs="宋体"/>
          <w:i w:val="0"/>
          <w:iCs w:val="0"/>
          <w:color w:val="000000"/>
          <w:kern w:val="0"/>
          <w:sz w:val="22"/>
          <w:szCs w:val="22"/>
          <w:highlight w:val="none"/>
          <w:u w:val="none"/>
          <w:lang w:val="en-US" w:eastAsia="zh-CN" w:bidi="ar"/>
        </w:rPr>
      </w:pPr>
    </w:p>
    <w:p w14:paraId="578BB722">
      <w:pP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供应商应针对本项目</w:t>
      </w:r>
      <w:r>
        <w:rPr>
          <w:rFonts w:hint="eastAsia" w:ascii="宋体" w:hAnsi="宋体" w:eastAsia="宋体" w:cs="宋体"/>
          <w:b/>
          <w:bCs/>
          <w:i w:val="0"/>
          <w:iCs w:val="0"/>
          <w:color w:val="auto"/>
          <w:kern w:val="0"/>
          <w:sz w:val="22"/>
          <w:szCs w:val="22"/>
          <w:highlight w:val="none"/>
          <w:u w:val="none"/>
          <w:lang w:val="en-US" w:eastAsia="zh-CN" w:bidi="ar"/>
        </w:rPr>
        <w:t>提供以下完整的技术方案（技术方案不作为废标项）</w:t>
      </w:r>
    </w:p>
    <w:p w14:paraId="4CB1AF47">
      <w:pPr>
        <w:spacing w:line="480" w:lineRule="auto"/>
        <w:rPr>
          <w:rFonts w:hint="eastAsia" w:ascii="宋体" w:hAnsi="宋体" w:eastAsia="宋体" w:cs="宋体"/>
          <w:b/>
          <w:bCs/>
          <w:i w:val="0"/>
          <w:iCs w:val="0"/>
          <w:color w:val="auto"/>
          <w:kern w:val="0"/>
          <w:sz w:val="21"/>
          <w:szCs w:val="21"/>
          <w:highlight w:val="none"/>
          <w:u w:val="none"/>
          <w:lang w:val="en-US" w:eastAsia="zh-CN" w:bidi="ar"/>
        </w:rPr>
      </w:pPr>
    </w:p>
    <w:p w14:paraId="605B27AC">
      <w:pPr>
        <w:spacing w:line="480" w:lineRule="auto"/>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1、供货方案</w:t>
      </w:r>
      <w:r>
        <w:rPr>
          <w:rFonts w:hint="eastAsia" w:ascii="宋体" w:hAnsi="宋体" w:cs="宋体"/>
          <w:b/>
          <w:bCs/>
          <w:i w:val="0"/>
          <w:iCs w:val="0"/>
          <w:color w:val="auto"/>
          <w:kern w:val="0"/>
          <w:sz w:val="22"/>
          <w:szCs w:val="22"/>
          <w:highlight w:val="none"/>
          <w:u w:val="none"/>
          <w:lang w:val="en-US" w:eastAsia="zh-CN" w:bidi="ar"/>
        </w:rPr>
        <w:t>：包含但不限于以下几个方面：货物保障；货物检验及方法；供货人员配置；供货计划；全流程监管机制。</w:t>
      </w:r>
    </w:p>
    <w:p w14:paraId="72E59F4D">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2、质量保证措施方案</w:t>
      </w:r>
      <w:r>
        <w:rPr>
          <w:rFonts w:hint="eastAsia" w:ascii="宋体" w:hAnsi="宋体" w:cs="宋体"/>
          <w:b/>
          <w:bCs/>
          <w:i w:val="0"/>
          <w:iCs w:val="0"/>
          <w:color w:val="auto"/>
          <w:kern w:val="0"/>
          <w:sz w:val="22"/>
          <w:szCs w:val="22"/>
          <w:highlight w:val="none"/>
          <w:u w:val="none"/>
          <w:lang w:val="en-US" w:eastAsia="zh-CN" w:bidi="ar"/>
        </w:rPr>
        <w:t>：包含但不限于以下几个方面：质量保障措施；质量方针及目标；质量标准及技术响应；质量保证依据；质量保证原则。</w:t>
      </w:r>
    </w:p>
    <w:p w14:paraId="05156877">
      <w:pPr>
        <w:spacing w:line="480" w:lineRule="auto"/>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3、运输方案</w:t>
      </w:r>
      <w:r>
        <w:rPr>
          <w:rFonts w:hint="eastAsia" w:ascii="宋体" w:hAnsi="宋体" w:cs="宋体"/>
          <w:b/>
          <w:bCs/>
          <w:i w:val="0"/>
          <w:iCs w:val="0"/>
          <w:color w:val="auto"/>
          <w:kern w:val="0"/>
          <w:sz w:val="22"/>
          <w:szCs w:val="22"/>
          <w:highlight w:val="none"/>
          <w:u w:val="none"/>
          <w:lang w:val="en-US" w:eastAsia="zh-CN" w:bidi="ar"/>
        </w:rPr>
        <w:t>：包含但不限于以下几个方面：运输车辆配备；运行安全控制；运输安全保障控制；技术安全措施；运输应急预案及处理。</w:t>
      </w:r>
    </w:p>
    <w:p w14:paraId="47DE412E">
      <w:pPr>
        <w:spacing w:line="480" w:lineRule="auto"/>
        <w:rPr>
          <w:rFonts w:hint="eastAsia" w:ascii="宋体" w:hAnsi="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4、安装调试、运行、验收方案</w:t>
      </w:r>
      <w:r>
        <w:rPr>
          <w:rFonts w:hint="eastAsia" w:ascii="宋体" w:hAnsi="宋体" w:cs="宋体"/>
          <w:b/>
          <w:bCs/>
          <w:i w:val="0"/>
          <w:iCs w:val="0"/>
          <w:color w:val="auto"/>
          <w:kern w:val="0"/>
          <w:sz w:val="22"/>
          <w:szCs w:val="22"/>
          <w:highlight w:val="none"/>
          <w:u w:val="none"/>
          <w:lang w:val="en-US" w:eastAsia="zh-CN" w:bidi="ar"/>
        </w:rPr>
        <w:t>：开箱验收方案；产品安装调试方案；产品试运转使用方案；</w:t>
      </w:r>
    </w:p>
    <w:p w14:paraId="6B3DA8EC">
      <w:pPr>
        <w:spacing w:line="480" w:lineRule="auto"/>
        <w:rPr>
          <w:rFonts w:hint="eastAsia" w:ascii="宋体" w:hAnsi="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安装人员配置。</w:t>
      </w:r>
    </w:p>
    <w:p w14:paraId="6B705C85">
      <w:pPr>
        <w:spacing w:line="480" w:lineRule="auto"/>
        <w:rPr>
          <w:rFonts w:hint="eastAsia" w:ascii="宋体" w:hAnsi="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5、培训方案：包含但不限于以下几个方面：培训安排；设备使用安全操作规程及注意要点；</w:t>
      </w:r>
    </w:p>
    <w:p w14:paraId="18B0188A">
      <w:pPr>
        <w:spacing w:line="480" w:lineRule="auto"/>
        <w:rPr>
          <w:rFonts w:hint="eastAsia" w:ascii="宋体" w:hAnsi="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厨房设备维修保养措施；厨房防火防电预案；</w:t>
      </w:r>
    </w:p>
    <w:p w14:paraId="256FB273">
      <w:pPr>
        <w:spacing w:line="480" w:lineRule="auto"/>
        <w:rPr>
          <w:rFonts w:hint="eastAsia" w:ascii="宋体" w:hAnsi="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6、售后服务方案：响应机制；售后服务流程；售后服务保障措施；应急保障措施；</w:t>
      </w:r>
    </w:p>
    <w:p w14:paraId="63D75556">
      <w:pPr>
        <w:spacing w:line="480" w:lineRule="auto"/>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7、售后服务响应承诺</w:t>
      </w:r>
    </w:p>
    <w:p w14:paraId="30C25856">
      <w:pPr>
        <w:spacing w:line="480" w:lineRule="auto"/>
        <w:rPr>
          <w:rFonts w:hint="eastAsia" w:ascii="宋体" w:hAnsi="宋体" w:cs="宋体"/>
          <w:color w:val="auto"/>
          <w:sz w:val="36"/>
          <w:szCs w:val="36"/>
          <w:highlight w:val="none"/>
        </w:rPr>
      </w:pPr>
      <w:r>
        <w:rPr>
          <w:rFonts w:hint="eastAsia" w:ascii="宋体" w:hAnsi="宋体" w:eastAsia="宋体" w:cs="宋体"/>
          <w:b/>
          <w:bCs/>
          <w:i w:val="0"/>
          <w:iCs w:val="0"/>
          <w:color w:val="auto"/>
          <w:kern w:val="0"/>
          <w:sz w:val="22"/>
          <w:szCs w:val="22"/>
          <w:highlight w:val="none"/>
          <w:u w:val="none"/>
          <w:lang w:val="en-US" w:eastAsia="zh-CN" w:bidi="ar"/>
        </w:rPr>
        <w:t>8、优惠条件及服务承诺（如有）</w:t>
      </w:r>
      <w:r>
        <w:rPr>
          <w:rFonts w:hint="eastAsia" w:ascii="宋体" w:hAnsi="宋体" w:cs="宋体"/>
          <w:color w:val="auto"/>
          <w:sz w:val="36"/>
          <w:szCs w:val="36"/>
          <w:highlight w:val="none"/>
        </w:rPr>
        <w:br w:type="page"/>
      </w:r>
    </w:p>
    <w:p w14:paraId="4FBAE8A6">
      <w:pPr>
        <w:pStyle w:val="2"/>
        <w:spacing w:before="0" w:after="0"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第五部分  合同格式</w:t>
      </w:r>
      <w:bookmarkEnd w:id="71"/>
    </w:p>
    <w:p w14:paraId="36F9E3F1">
      <w:pPr>
        <w:spacing w:line="288" w:lineRule="auto"/>
        <w:jc w:val="center"/>
        <w:rPr>
          <w:rFonts w:ascii="宋体" w:hAnsi="宋体" w:cs="宋体"/>
          <w:b/>
          <w:color w:val="auto"/>
          <w:kern w:val="44"/>
          <w:sz w:val="32"/>
          <w:szCs w:val="32"/>
          <w:highlight w:val="none"/>
        </w:rPr>
      </w:pPr>
    </w:p>
    <w:p w14:paraId="43C52317">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1．定义：</w:t>
      </w:r>
      <w:r>
        <w:rPr>
          <w:rFonts w:hint="eastAsia" w:ascii="宋体" w:hAnsi="宋体" w:eastAsia="宋体" w:cs="宋体"/>
          <w:color w:val="auto"/>
          <w:sz w:val="24"/>
          <w:highlight w:val="none"/>
          <w:lang w:val="zh-CN"/>
        </w:rPr>
        <w:t>除非另有约定，本合同下列术语按如下定义进行解释：</w:t>
      </w:r>
    </w:p>
    <w:p w14:paraId="5E376753">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合同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指供需双方签署的、在合同中载明的合同各方所达成的协议，包括构成合同的所有附件、附录和其他文件。</w:t>
      </w:r>
    </w:p>
    <w:p w14:paraId="7D2ECBE1">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附件、附录</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指与本合同的订立、履行有关的，经供需双方认可的，对本合同约定内容进行细化、补充、修改、变更等的文件资料。</w:t>
      </w:r>
    </w:p>
    <w:p w14:paraId="1308DE19">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合同价格</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指根据合同规定供方正确地完全履行合同义务后需方应支付给供方的价格。</w:t>
      </w:r>
    </w:p>
    <w:p w14:paraId="5AE91E4C">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货物</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指根据合同规定供方须向需方提供的一切材料、设备、机械、仪表、备件、工具和/或其它材料。</w:t>
      </w:r>
    </w:p>
    <w:p w14:paraId="2D2ECE7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服务</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指根据合同规定供方承担的与供货和履行合同有关的辅助服务。</w:t>
      </w:r>
    </w:p>
    <w:p w14:paraId="0F1C3AE1">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需方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指政府采购货物和服务的使用单位。</w:t>
      </w:r>
    </w:p>
    <w:p w14:paraId="1DD7FEC0">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供方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指按照合同规定向需方提供货物和服务的公司或实体。</w:t>
      </w:r>
    </w:p>
    <w:p w14:paraId="4A9A68A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第三方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指本合同以外的任何中国境内、境外的法人、自然人或其他组织。</w:t>
      </w:r>
    </w:p>
    <w:p w14:paraId="1E9F3D2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日、天</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均指日历天数。</w:t>
      </w:r>
    </w:p>
    <w:p w14:paraId="71FB781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工作日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指扣除公休日和国家法定节假日以外的日历日。</w:t>
      </w:r>
    </w:p>
    <w:p w14:paraId="38C86ABB">
      <w:pPr>
        <w:autoSpaceDE w:val="0"/>
        <w:autoSpaceDN w:val="0"/>
        <w:adjustRightInd w:val="0"/>
        <w:spacing w:line="460" w:lineRule="exact"/>
        <w:ind w:firstLine="48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w:t>
      </w:r>
      <w:r>
        <w:rPr>
          <w:rFonts w:hint="eastAsia" w:ascii="宋体" w:hAnsi="宋体" w:eastAsia="宋体" w:cs="宋体"/>
          <w:b/>
          <w:bCs/>
          <w:color w:val="auto"/>
          <w:sz w:val="24"/>
          <w:highlight w:val="none"/>
          <w:lang w:val="zh-CN"/>
        </w:rPr>
        <w:t>《</w:t>
      </w:r>
      <w:r>
        <w:rPr>
          <w:rFonts w:hint="eastAsia" w:ascii="宋体" w:hAnsi="宋体"/>
          <w:color w:val="auto"/>
          <w:sz w:val="24"/>
          <w:szCs w:val="24"/>
          <w:highlight w:val="none"/>
        </w:rPr>
        <w:t>吉林艺术学院繁荣校区食堂厨房和餐厅设备项目</w:t>
      </w:r>
      <w:r>
        <w:rPr>
          <w:rFonts w:hint="eastAsia" w:ascii="宋体" w:hAnsi="宋体" w:eastAsia="宋体" w:cs="宋体"/>
          <w:b/>
          <w:bCs/>
          <w:color w:val="auto"/>
          <w:sz w:val="24"/>
          <w:highlight w:val="none"/>
          <w:lang w:val="zh-CN"/>
        </w:rPr>
        <w:t>》</w:t>
      </w:r>
      <w:r>
        <w:rPr>
          <w:rFonts w:hint="eastAsia" w:ascii="宋体" w:hAnsi="宋体" w:eastAsia="宋体" w:cs="宋体"/>
          <w:b/>
          <w:color w:val="auto"/>
          <w:sz w:val="24"/>
          <w:szCs w:val="24"/>
          <w:highlight w:val="none"/>
          <w:lang w:val="zh-CN"/>
        </w:rPr>
        <w:t>。</w:t>
      </w:r>
    </w:p>
    <w:p w14:paraId="786108AD">
      <w:pPr>
        <w:autoSpaceDE w:val="0"/>
        <w:autoSpaceDN w:val="0"/>
        <w:adjustRightInd w:val="0"/>
        <w:spacing w:line="460" w:lineRule="exact"/>
        <w:ind w:firstLine="482"/>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2．适用范围：</w:t>
      </w:r>
      <w:r>
        <w:rPr>
          <w:rFonts w:hint="eastAsia" w:ascii="宋体" w:hAnsi="宋体" w:eastAsia="宋体" w:cs="宋体"/>
          <w:color w:val="auto"/>
          <w:sz w:val="24"/>
          <w:highlight w:val="none"/>
          <w:lang w:val="zh-CN"/>
        </w:rPr>
        <w:t>本合同条款仅适用</w:t>
      </w:r>
      <w:r>
        <w:rPr>
          <w:rFonts w:hint="eastAsia" w:ascii="宋体" w:hAnsi="宋体"/>
          <w:color w:val="auto"/>
          <w:sz w:val="24"/>
          <w:szCs w:val="24"/>
          <w:highlight w:val="none"/>
        </w:rPr>
        <w:t>吉林艺术学院繁荣校区食堂厨房和餐厅设备项目</w:t>
      </w:r>
      <w:r>
        <w:rPr>
          <w:rFonts w:hint="eastAsia" w:ascii="宋体" w:hAnsi="宋体" w:eastAsia="宋体" w:cs="宋体"/>
          <w:b/>
          <w:bCs/>
          <w:color w:val="auto"/>
          <w:sz w:val="24"/>
          <w:highlight w:val="none"/>
          <w:lang w:val="zh-CN"/>
        </w:rPr>
        <w:t>。</w:t>
      </w:r>
    </w:p>
    <w:p w14:paraId="0D416048">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3．合同内容：</w:t>
      </w:r>
      <w:r>
        <w:rPr>
          <w:rFonts w:hint="eastAsia" w:ascii="宋体" w:hAnsi="宋体" w:eastAsia="宋体" w:cs="宋体"/>
          <w:color w:val="auto"/>
          <w:sz w:val="24"/>
          <w:highlight w:val="none"/>
          <w:lang w:val="zh-CN"/>
        </w:rPr>
        <w:t>详见招标文件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技术规格与要求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及供方的投标文件。未尽事宜在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政府采购合同书中</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约定。</w:t>
      </w:r>
    </w:p>
    <w:p w14:paraId="1002222A">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4．合同价格、交货时间及地点、交货方式、付款方式及条件：</w:t>
      </w:r>
      <w:r>
        <w:rPr>
          <w:rFonts w:hint="eastAsia" w:ascii="宋体" w:hAnsi="宋体" w:eastAsia="宋体" w:cs="宋体"/>
          <w:color w:val="auto"/>
          <w:sz w:val="24"/>
          <w:highlight w:val="none"/>
          <w:lang w:val="zh-CN"/>
        </w:rPr>
        <w:t>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政府采购合同书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中约定。</w:t>
      </w:r>
    </w:p>
    <w:p w14:paraId="533F982B">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5．知识产权及有关规定：</w:t>
      </w:r>
      <w:r>
        <w:rPr>
          <w:rFonts w:hint="eastAsia" w:ascii="宋体" w:hAnsi="宋体" w:eastAsia="宋体" w:cs="宋体"/>
          <w:color w:val="auto"/>
          <w:sz w:val="24"/>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4E28C742">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6．保密条款</w:t>
      </w:r>
    </w:p>
    <w:p w14:paraId="474BAC3A">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6.1任何一方对其获知的本合同涉及的所有有形、无形的信息及资料（包括但不限于供需双方的往来书面文字文件、电子邮件等）中另一方的商业秘密或国家秘密负有保密义务。</w:t>
      </w:r>
    </w:p>
    <w:p w14:paraId="225FEB27">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51A2F2DA">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7.合同的解释</w:t>
      </w:r>
    </w:p>
    <w:p w14:paraId="05D81B79">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7.1任何一方对本合同及其附件的解释均应遵循诚实信用原则，依照本合同签订时有效的中华人民共和国的法律、法规以及人们通常的理解进行。</w:t>
      </w:r>
    </w:p>
    <w:p w14:paraId="70ECC66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7.2本合同中以日（天）表述的时间期限均指公历日。</w:t>
      </w:r>
    </w:p>
    <w:p w14:paraId="6A1B1FA7">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7.3对本合同的任何解释均应以书面做出。</w:t>
      </w:r>
    </w:p>
    <w:p w14:paraId="30FE9C78">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8．包装要求：</w:t>
      </w:r>
      <w:r>
        <w:rPr>
          <w:rFonts w:hint="eastAsia" w:ascii="宋体" w:hAnsi="宋体" w:eastAsia="宋体" w:cs="宋体"/>
          <w:color w:val="auto"/>
          <w:sz w:val="24"/>
          <w:highlight w:val="none"/>
          <w:lang w:val="zh-CN"/>
        </w:rPr>
        <w:t>除合同另有规定外，供方提供的全部货物均应按国家或行业标准进行包装。因包装出现问题导致货物毁损的,由供方向需方直接承担责任。每一个包装箱内应附一份详细的装箱单和质量合格证书。</w:t>
      </w:r>
    </w:p>
    <w:p w14:paraId="160A3E22">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9．包装标志：</w:t>
      </w:r>
      <w:r>
        <w:rPr>
          <w:rFonts w:hint="eastAsia" w:ascii="宋体" w:hAnsi="宋体" w:eastAsia="宋体" w:cs="宋体"/>
          <w:color w:val="auto"/>
          <w:sz w:val="24"/>
          <w:highlight w:val="none"/>
          <w:lang w:val="zh-CN"/>
        </w:rPr>
        <w:t>每一包装箱应用不褪色的油漆以醒目的中文字样做出相关标记。</w:t>
      </w:r>
    </w:p>
    <w:p w14:paraId="6FAEE5F5">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10．伴随服务</w:t>
      </w:r>
    </w:p>
    <w:p w14:paraId="224C9C8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10.1供方应提供所交付货物的全套技术文件资料，包括产品目录、图纸、操作手册、使用说明、维护手册和服务指南等。</w:t>
      </w:r>
    </w:p>
    <w:p w14:paraId="6A473B3B">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145B9531">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10.3上述伴随服务的费用应包含在合同总价中，不单独进行支付。</w:t>
      </w:r>
    </w:p>
    <w:p w14:paraId="4312BD2A">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11．质量保证期及售后服务</w:t>
      </w:r>
    </w:p>
    <w:p w14:paraId="66F62F16">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11.1质量保证期及售后服务：详见招标文件的要求，供方提交的售后服务承诺书和制造厂商的有关文件，如果上述文件有不一致之处，以对需方有利的为准。</w:t>
      </w:r>
    </w:p>
    <w:p w14:paraId="645C9E52">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11.2如果上述第11.1款无特别约定，本合同项下货物的质量保证期为从需方验收合格并交付给需方之日起一年。</w:t>
      </w:r>
    </w:p>
    <w:p w14:paraId="564AD304">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12．质量保证</w:t>
      </w:r>
    </w:p>
    <w:p w14:paraId="0707CF43">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11条规定的质量保证期内，供方应对其交付的货物由于设计、工艺或材料的缺陷而产生的故障负责。</w:t>
      </w:r>
    </w:p>
    <w:p w14:paraId="79EBA868">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12.2 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40CFBB8D">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12.3在质量保证期内，供方在接到需方的通知后，应在本合同条款第11条约定的响应时间内,免费维修和/或更换有缺陷的货物或部件。</w:t>
      </w:r>
    </w:p>
    <w:p w14:paraId="493158DF">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62EDA17F">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13．验收</w:t>
      </w:r>
    </w:p>
    <w:p w14:paraId="5B257F7D">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13.1</w:t>
      </w:r>
      <w:r>
        <w:rPr>
          <w:rFonts w:hint="eastAsia" w:ascii="宋体" w:hAnsi="宋体" w:eastAsia="宋体" w:cs="宋体"/>
          <w:color w:val="auto"/>
          <w:sz w:val="24"/>
          <w:highlight w:val="none"/>
          <w:lang w:val="zh-CN"/>
        </w:rPr>
        <w:t>供方提交的货物由需方负责验收，</w:t>
      </w:r>
      <w:r>
        <w:rPr>
          <w:rFonts w:hint="eastAsia" w:ascii="宋体" w:hAnsi="宋体" w:eastAsia="宋体" w:cs="宋体"/>
          <w:color w:val="auto"/>
          <w:sz w:val="24"/>
          <w:highlight w:val="none"/>
          <w:lang w:val="en-US" w:eastAsia="zh-CN"/>
        </w:rPr>
        <w:t>主要包括</w:t>
      </w:r>
      <w:r>
        <w:rPr>
          <w:rFonts w:hint="eastAsia" w:ascii="宋体" w:hAnsi="宋体" w:eastAsia="宋体" w:cs="宋体"/>
          <w:color w:val="auto"/>
          <w:sz w:val="24"/>
          <w:highlight w:val="none"/>
          <w:lang w:val="zh-CN"/>
        </w:rPr>
        <w:t>对货物的品种、规格、数量、外观以及配件等进行检</w:t>
      </w:r>
      <w:r>
        <w:rPr>
          <w:rFonts w:hint="eastAsia" w:ascii="宋体" w:hAnsi="宋体" w:eastAsia="宋体" w:cs="宋体"/>
          <w:color w:val="auto"/>
          <w:sz w:val="24"/>
          <w:highlight w:val="none"/>
          <w:lang w:val="en-US" w:eastAsia="zh-CN"/>
        </w:rPr>
        <w:t>查</w:t>
      </w:r>
      <w:r>
        <w:rPr>
          <w:rFonts w:hint="eastAsia" w:ascii="宋体" w:hAnsi="宋体" w:eastAsia="宋体" w:cs="宋体"/>
          <w:color w:val="auto"/>
          <w:sz w:val="24"/>
          <w:highlight w:val="none"/>
          <w:lang w:val="zh-CN"/>
        </w:rPr>
        <w:t>。</w:t>
      </w:r>
    </w:p>
    <w:p w14:paraId="55E5EB12">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13.2验收过程中，如果供需双方对合同标的质量发生争议，应当聘请质检（商检）部门或有关部门对有争议的货物质量进行鉴定，检验费用由责任方承担。</w:t>
      </w:r>
    </w:p>
    <w:p w14:paraId="228556F9">
      <w:pPr>
        <w:autoSpaceDE w:val="0"/>
        <w:autoSpaceDN w:val="0"/>
        <w:adjustRightInd w:val="0"/>
        <w:spacing w:line="46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13.3按照规定必须由国家有关部门或者机构检验合格才允许使用的货物，由供方负责（需方配合）向有关部门或者机构申请检验并取得检验合格的报告（证书）或者使用许可证，费用包含在供方的投标总价中。</w:t>
      </w:r>
    </w:p>
    <w:p w14:paraId="3C67F766">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14．索赔</w:t>
      </w:r>
    </w:p>
    <w:p w14:paraId="6041263E">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14.1需方有权根据国家技术监督局、进出口商品检验局或其他具有法定资格的质检机构出具的检验证书向供方提出索赔。</w:t>
      </w:r>
    </w:p>
    <w:p w14:paraId="5280243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14.2如果供方对缺陷负有责任而需方提出索赔，供方应按照需方同意的下列一种或多种方式解决索赔事宜：</w:t>
      </w:r>
    </w:p>
    <w:p w14:paraId="5D8AEA3D">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（1）供方同意退货并用合同规定的货币将货款退还给需方，并承担由此发生的一切损失和费用，包括利息、银行手续费、运费、保险费、检验费、仓储费、装卸费以及为保护退回货物所需的其他必要费用。</w:t>
      </w:r>
    </w:p>
    <w:p w14:paraId="000A514B">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（2）根据货物低劣、损坏程度以及需方所遭受损失的金额，经双方商定降低货物的价格。</w:t>
      </w:r>
    </w:p>
    <w:p w14:paraId="2A79BDFB">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6D32D3FD">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14.3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0B8296BB">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15．履约延误</w:t>
      </w:r>
    </w:p>
    <w:p w14:paraId="072A0817">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15.1 供方应按照合同规定的时间、地点交货和提供服务；需方应按照合同规定的时间、地点接收货物和接受服务。</w:t>
      </w:r>
    </w:p>
    <w:p w14:paraId="0038BEFF">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15.2 如果供方无正当理由拖延交货，将受到以下制裁：没收履约保证金、加收误期赔偿和／或违约终止合同；如果需方无正当理由拖延接收货物和接受服务，应承担相应的违约责任。</w:t>
      </w:r>
    </w:p>
    <w:p w14:paraId="60ECEDBD">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2A7E8245">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16．误期赔偿</w:t>
      </w:r>
    </w:p>
    <w:p w14:paraId="4AA1851D">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16.1除本合同条款</w:t>
      </w:r>
      <w:r>
        <w:rPr>
          <w:rFonts w:hint="eastAsia" w:ascii="宋体" w:hAnsi="宋体" w:eastAsia="宋体" w:cs="宋体"/>
          <w:b/>
          <w:color w:val="auto"/>
          <w:sz w:val="24"/>
          <w:highlight w:val="none"/>
          <w:lang w:val="zh-CN"/>
        </w:rPr>
        <w:t>第18条</w:t>
      </w:r>
      <w:r>
        <w:rPr>
          <w:rFonts w:hint="eastAsia" w:ascii="宋体" w:hAnsi="宋体" w:eastAsia="宋体" w:cs="宋体"/>
          <w:color w:val="auto"/>
          <w:sz w:val="24"/>
          <w:highlight w:val="none"/>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5D7AA728">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16.2误期赔偿费可从应付货款和/或履约保证金中扣除。</w:t>
      </w:r>
    </w:p>
    <w:p w14:paraId="4931C731">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16.3收取误期赔偿费不影响需方采取合同规定的其他补救措施的权利。</w:t>
      </w:r>
    </w:p>
    <w:p w14:paraId="27A95E89">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16.4在收取误期赔偿费期间，需方有权决定是否终止合同。</w:t>
      </w:r>
    </w:p>
    <w:p w14:paraId="30527D92">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16.5如果需方违约，应承担相应的违约责任。</w:t>
      </w:r>
    </w:p>
    <w:p w14:paraId="6BAC501B">
      <w:pPr>
        <w:autoSpaceDE w:val="0"/>
        <w:autoSpaceDN w:val="0"/>
        <w:adjustRightInd w:val="0"/>
        <w:spacing w:line="460" w:lineRule="exact"/>
        <w:ind w:firstLine="482"/>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17．履约保证金和质量保证金：在政府采购合同书中约定。</w:t>
      </w:r>
    </w:p>
    <w:p w14:paraId="3E7D3492">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18．不可抗力</w:t>
      </w:r>
    </w:p>
    <w:p w14:paraId="48DDA780">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551E92E9">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18.2 本条所述的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不可抗力</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系指那些双方无法控制，不可预见的事件，但不包括双方的违约或疏忽。这些事件包括但不限于：战争、严重火灾、洪水、台风、地震以及其它双方商定的事件。</w:t>
      </w:r>
    </w:p>
    <w:p w14:paraId="0A90513B">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71D30154">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19．税费</w:t>
      </w:r>
    </w:p>
    <w:p w14:paraId="6B9900F4">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19.1 根据现行法律规定对需方征收的与本合同有关的一切税费均由需方负担。</w:t>
      </w:r>
    </w:p>
    <w:p w14:paraId="38244124">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19.2 根据现行法律规定对供方征收的与本合同有关的一切税费均由供方负担。</w:t>
      </w:r>
    </w:p>
    <w:p w14:paraId="6AB9CCC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19.3 在中国境外发生的与执行本合同有关的一切税费均由供方负担。</w:t>
      </w:r>
    </w:p>
    <w:p w14:paraId="027AB6AD">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20．争议解决方式</w:t>
      </w:r>
    </w:p>
    <w:p w14:paraId="6BC55134">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lang w:val="zh-CN"/>
        </w:rPr>
        <w:t>20.1供需双方应通过友好协商，解决在执行本合同过程中所发生的或与本合同有关的争议。如果不能协商解决，可以向国家有关部门申请调解。如果调解不成，双方可以在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color w:val="auto"/>
          <w:sz w:val="24"/>
          <w:highlight w:val="none"/>
          <w:lang w:val="zh-CN"/>
        </w:rPr>
        <w:t>政府采购合同书</w:t>
      </w:r>
      <w:r>
        <w:rPr>
          <w:rFonts w:hint="eastAsia" w:ascii="宋体" w:hAnsi="宋体" w:eastAsia="宋体" w:cs="宋体"/>
          <w:color w:val="auto"/>
          <w:sz w:val="24"/>
          <w:highlight w:val="none"/>
          <w:lang w:val="zh-CN"/>
        </w:rPr>
        <w:t>内约定方式解决争议：</w:t>
      </w:r>
    </w:p>
    <w:p w14:paraId="5682FF5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方式：向需方所在地人民法院提起诉讼。</w:t>
      </w:r>
    </w:p>
    <w:p w14:paraId="488E4EEA">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20.2 因合同部分履行引发仲裁（诉讼）的，在仲裁（诉讼）期间，除正在进行仲裁（诉讼）的部分外，本合同的其它部分应继续执行。</w:t>
      </w:r>
    </w:p>
    <w:p w14:paraId="3234A1D6">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21．违约终止合同</w:t>
      </w:r>
    </w:p>
    <w:p w14:paraId="1239923C">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21.1 在需方因供方违约而按合同约定采取的任何补救措施不受影响的情况下，需方可在下列情况下向供方发出书面通知，提出终止部分或全部合同。</w:t>
      </w:r>
    </w:p>
    <w:p w14:paraId="6746E281">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（1）如果供方未能在合同规定的限期或需方同意延长的限期内提供部分或全部货物和服务。</w:t>
      </w:r>
    </w:p>
    <w:p w14:paraId="733CEE02">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（2）如果供方未能履行合同规定的其它任何义务。</w:t>
      </w:r>
    </w:p>
    <w:p w14:paraId="6D0A3202">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（3）如果供方在本合同订立和履行过程中采取了任何</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不正当竞争行为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，危害到国家利益、社会公共利益和需方的合法权益。</w:t>
      </w:r>
    </w:p>
    <w:p w14:paraId="7CE4CCA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0F025353">
      <w:pPr>
        <w:autoSpaceDE w:val="0"/>
        <w:autoSpaceDN w:val="0"/>
        <w:adjustRightInd w:val="0"/>
        <w:spacing w:line="4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21.3如果需方违约，应承担相应的违约责任。</w:t>
      </w:r>
    </w:p>
    <w:p w14:paraId="2765F340">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22．破产终止合同：</w:t>
      </w:r>
      <w:r>
        <w:rPr>
          <w:rFonts w:hint="eastAsia" w:ascii="宋体" w:hAnsi="宋体" w:eastAsia="宋体" w:cs="宋体"/>
          <w:color w:val="auto"/>
          <w:sz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36C87C81">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23．合同转让和分包：</w:t>
      </w:r>
      <w:r>
        <w:rPr>
          <w:rFonts w:hint="eastAsia" w:ascii="宋体" w:hAnsi="宋体" w:eastAsia="宋体" w:cs="宋体"/>
          <w:color w:val="auto"/>
          <w:sz w:val="24"/>
          <w:highlight w:val="none"/>
          <w:lang w:val="zh-CN"/>
        </w:rPr>
        <w:t>本合同不得转让或分包。</w:t>
      </w:r>
    </w:p>
    <w:p w14:paraId="2110A26E">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24．需要补充的合同条款：</w:t>
      </w:r>
      <w:r>
        <w:rPr>
          <w:rFonts w:hint="eastAsia" w:ascii="宋体" w:hAnsi="宋体" w:eastAsia="宋体" w:cs="宋体"/>
          <w:color w:val="auto"/>
          <w:sz w:val="24"/>
          <w:highlight w:val="none"/>
          <w:lang w:val="zh-CN"/>
        </w:rPr>
        <w:t>在政府采购合同书中约定。</w:t>
      </w:r>
    </w:p>
    <w:p w14:paraId="03DA65D4">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25．适用法律：</w:t>
      </w:r>
      <w:r>
        <w:rPr>
          <w:rFonts w:hint="eastAsia" w:ascii="宋体" w:hAnsi="宋体" w:eastAsia="宋体" w:cs="宋体"/>
          <w:color w:val="auto"/>
          <w:sz w:val="24"/>
          <w:highlight w:val="none"/>
          <w:lang w:val="zh-CN"/>
        </w:rPr>
        <w:t>本合同及附件的订立、效力、解释、履行、争议的解决等适用本合同签订时有效的中华人民共和国法律、法规的有关规定。</w:t>
      </w:r>
    </w:p>
    <w:p w14:paraId="781F04FA">
      <w:pPr>
        <w:autoSpaceDE w:val="0"/>
        <w:autoSpaceDN w:val="0"/>
        <w:adjustRightInd w:val="0"/>
        <w:spacing w:line="42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26.主导语言与计量单位</w:t>
      </w:r>
    </w:p>
    <w:p w14:paraId="4EFF6907">
      <w:pPr>
        <w:autoSpaceDE w:val="0"/>
        <w:autoSpaceDN w:val="0"/>
        <w:adjustRightInd w:val="0"/>
        <w:spacing w:line="4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26.1合同应用中文书写。供需双方所有来往信函，以及合同有关的文件均应以中文书写。</w:t>
      </w:r>
    </w:p>
    <w:p w14:paraId="005A3CB7">
      <w:pPr>
        <w:autoSpaceDE w:val="0"/>
        <w:autoSpaceDN w:val="0"/>
        <w:adjustRightInd w:val="0"/>
        <w:spacing w:line="40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26.2除合同另有规定外，计量单位均使用中华人民共和国法定计量单位。</w:t>
      </w:r>
    </w:p>
    <w:p w14:paraId="3E1A177D">
      <w:pPr>
        <w:autoSpaceDE w:val="0"/>
        <w:autoSpaceDN w:val="0"/>
        <w:adjustRightInd w:val="0"/>
        <w:spacing w:line="400" w:lineRule="exact"/>
        <w:ind w:firstLine="482"/>
        <w:rPr>
          <w:rFonts w:hint="eastAsia" w:ascii="宋体" w:hAnsi="宋体" w:eastAsia="宋体" w:cs="宋体"/>
          <w:color w:val="auto"/>
          <w:highlight w:val="none"/>
          <w:lang w:val="zh-CN"/>
        </w:rPr>
      </w:pPr>
      <w:r>
        <w:rPr>
          <w:rFonts w:hint="eastAsia" w:ascii="宋体" w:hAnsi="宋体" w:eastAsia="宋体" w:cs="宋体"/>
          <w:b/>
          <w:color w:val="auto"/>
          <w:sz w:val="24"/>
          <w:highlight w:val="none"/>
          <w:lang w:val="zh-CN"/>
        </w:rPr>
        <w:t>27．政府采购法对政府采购合同变更、终止的规定：</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变更须签署补充协议</w:t>
      </w:r>
      <w:r>
        <w:rPr>
          <w:rFonts w:hint="eastAsia" w:ascii="宋体" w:hAnsi="宋体" w:eastAsia="宋体" w:cs="宋体"/>
          <w:color w:val="auto"/>
          <w:sz w:val="24"/>
          <w:highlight w:val="none"/>
        </w:rPr>
        <w:t>”</w:t>
      </w:r>
    </w:p>
    <w:p w14:paraId="32D7D11F">
      <w:pPr>
        <w:jc w:val="center"/>
        <w:rPr>
          <w:b/>
          <w:color w:val="auto"/>
          <w:sz w:val="44"/>
          <w:szCs w:val="44"/>
          <w:highlight w:val="none"/>
        </w:rPr>
      </w:pPr>
      <w:r>
        <w:rPr>
          <w:rFonts w:hint="eastAsia" w:ascii="宋体" w:hAnsi="宋体" w:eastAsia="宋体" w:cs="宋体"/>
          <w:color w:val="auto"/>
          <w:highlight w:val="none"/>
          <w:lang w:val="zh-CN"/>
        </w:rPr>
        <w:br w:type="page"/>
      </w:r>
      <w:r>
        <w:rPr>
          <w:rFonts w:hint="eastAsia"/>
          <w:b/>
          <w:color w:val="auto"/>
          <w:sz w:val="44"/>
          <w:szCs w:val="44"/>
          <w:highlight w:val="none"/>
        </w:rPr>
        <w:t>政府采购合同</w:t>
      </w:r>
    </w:p>
    <w:p w14:paraId="0FC926AB">
      <w:pPr>
        <w:rPr>
          <w:rFonts w:hint="eastAsia" w:ascii="宋体" w:cs="宋体"/>
          <w:color w:val="auto"/>
          <w:sz w:val="24"/>
          <w:highlight w:val="none"/>
          <w:lang w:val="zh-CN"/>
        </w:rPr>
      </w:pPr>
    </w:p>
    <w:p w14:paraId="4911B6B7">
      <w:pPr>
        <w:snapToGri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合同编号：签订地点：</w:t>
      </w:r>
    </w:p>
    <w:p w14:paraId="5C14A062">
      <w:pPr>
        <w:snapToGrid w:val="0"/>
        <w:spacing w:line="360" w:lineRule="auto"/>
        <w:ind w:firstLine="472" w:firstLineChars="196"/>
        <w:rPr>
          <w:rFonts w:hint="eastAsia" w:asciiTheme="minorEastAsia" w:hAnsiTheme="minorEastAsia" w:eastAsiaTheme="minorEastAsia" w:cstheme="minorEastAsia"/>
          <w:b/>
          <w:color w:val="auto"/>
          <w:sz w:val="24"/>
          <w:szCs w:val="24"/>
          <w:highlight w:val="none"/>
        </w:rPr>
      </w:pPr>
    </w:p>
    <w:p w14:paraId="57BC38F3">
      <w:pPr>
        <w:snapToGrid w:val="0"/>
        <w:spacing w:line="360" w:lineRule="auto"/>
        <w:ind w:firstLine="470" w:firstLineChars="19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（采购人）对***、***等服务进行政府采购，经***(公开招标或竞争性谈判或竞争性磋商或单一来源)采购。该采购项目由***（服务方）中标（成交），双方</w:t>
      </w:r>
      <w:r>
        <w:rPr>
          <w:rFonts w:hint="eastAsia" w:asciiTheme="minorEastAsia" w:hAnsiTheme="minorEastAsia" w:eastAsiaTheme="minorEastAsia" w:cstheme="minorEastAsia"/>
          <w:color w:val="auto"/>
          <w:sz w:val="24"/>
          <w:szCs w:val="24"/>
          <w:highlight w:val="none"/>
          <w:lang w:val="zh-CN"/>
        </w:rPr>
        <w:t>按照《中华人民共和国民法典》和有关法律法规，遵循平等、自愿、公平和诚信原则，同意按照下面的条款和条件订立本合同，</w:t>
      </w:r>
      <w:r>
        <w:rPr>
          <w:rFonts w:hint="eastAsia" w:asciiTheme="minorEastAsia" w:hAnsiTheme="minorEastAsia" w:eastAsiaTheme="minorEastAsia" w:cstheme="minorEastAsia"/>
          <w:color w:val="auto"/>
          <w:sz w:val="24"/>
          <w:szCs w:val="24"/>
          <w:highlight w:val="none"/>
        </w:rPr>
        <w:t>签署本合同，</w:t>
      </w:r>
      <w:r>
        <w:rPr>
          <w:rFonts w:hint="eastAsia" w:asciiTheme="minorEastAsia" w:hAnsiTheme="minorEastAsia" w:eastAsiaTheme="minorEastAsia" w:cstheme="minorEastAsia"/>
          <w:color w:val="auto"/>
          <w:sz w:val="24"/>
          <w:szCs w:val="24"/>
          <w:highlight w:val="none"/>
          <w:lang w:val="zh-CN"/>
        </w:rPr>
        <w:t>共同信守。</w:t>
      </w:r>
    </w:p>
    <w:p w14:paraId="6548D3FC">
      <w:pPr>
        <w:spacing w:line="360" w:lineRule="auto"/>
        <w:ind w:firstLine="472" w:firstLineChars="196"/>
        <w:jc w:val="both"/>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一、合同标的</w:t>
      </w:r>
      <w:r>
        <w:rPr>
          <w:rFonts w:hint="eastAsia" w:asciiTheme="minorEastAsia" w:hAnsiTheme="minorEastAsia" w:eastAsiaTheme="minorEastAsia" w:cstheme="minorEastAsia"/>
          <w:b/>
          <w:color w:val="auto"/>
          <w:sz w:val="24"/>
          <w:szCs w:val="24"/>
          <w:highlight w:val="none"/>
          <w:lang w:val="zh-CN"/>
        </w:rPr>
        <w:t xml:space="preserve">： </w:t>
      </w:r>
    </w:p>
    <w:tbl>
      <w:tblPr>
        <w:tblStyle w:val="43"/>
        <w:tblW w:w="8789" w:type="dxa"/>
        <w:tblInd w:w="10" w:type="dxa"/>
        <w:tblLayout w:type="fixed"/>
        <w:tblCellMar>
          <w:top w:w="0" w:type="dxa"/>
          <w:left w:w="10" w:type="dxa"/>
          <w:bottom w:w="0" w:type="dxa"/>
          <w:right w:w="10" w:type="dxa"/>
        </w:tblCellMar>
      </w:tblPr>
      <w:tblGrid>
        <w:gridCol w:w="567"/>
        <w:gridCol w:w="1843"/>
        <w:gridCol w:w="2410"/>
        <w:gridCol w:w="992"/>
        <w:gridCol w:w="1134"/>
        <w:gridCol w:w="1843"/>
      </w:tblGrid>
      <w:tr w14:paraId="18F6D4FF">
        <w:tblPrEx>
          <w:tblCellMar>
            <w:top w:w="0" w:type="dxa"/>
            <w:left w:w="10" w:type="dxa"/>
            <w:bottom w:w="0" w:type="dxa"/>
            <w:right w:w="10" w:type="dxa"/>
          </w:tblCellMar>
        </w:tblPrEx>
        <w:tc>
          <w:tcPr>
            <w:tcW w:w="567" w:type="dxa"/>
            <w:tcBorders>
              <w:top w:val="single" w:color="000000" w:sz="6" w:space="0"/>
              <w:left w:val="single" w:color="000000" w:sz="6" w:space="0"/>
              <w:bottom w:val="single" w:color="000000" w:sz="6" w:space="0"/>
              <w:right w:val="single" w:color="000000" w:sz="6" w:space="0"/>
            </w:tcBorders>
            <w:noWrap w:val="0"/>
            <w:vAlign w:val="center"/>
          </w:tcPr>
          <w:p w14:paraId="02C8CA5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843" w:type="dxa"/>
            <w:tcBorders>
              <w:top w:val="single" w:color="000000" w:sz="6" w:space="0"/>
              <w:left w:val="single" w:color="000000" w:sz="6" w:space="0"/>
              <w:bottom w:val="single" w:color="000000" w:sz="6" w:space="0"/>
              <w:right w:val="single" w:color="auto" w:sz="4" w:space="0"/>
            </w:tcBorders>
            <w:noWrap w:val="0"/>
            <w:vAlign w:val="center"/>
          </w:tcPr>
          <w:p w14:paraId="3C335BE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服务名称</w:t>
            </w:r>
          </w:p>
        </w:tc>
        <w:tc>
          <w:tcPr>
            <w:tcW w:w="2410" w:type="dxa"/>
            <w:tcBorders>
              <w:top w:val="single" w:color="000000" w:sz="6" w:space="0"/>
              <w:left w:val="single" w:color="auto" w:sz="4" w:space="0"/>
              <w:bottom w:val="single" w:color="000000" w:sz="6" w:space="0"/>
              <w:right w:val="single" w:color="000000" w:sz="6" w:space="0"/>
            </w:tcBorders>
            <w:noWrap w:val="0"/>
            <w:vAlign w:val="center"/>
          </w:tcPr>
          <w:p w14:paraId="6FACC23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服务内容</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70D6F99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项</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61141498">
            <w:pPr>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单价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元</w:t>
            </w:r>
            <w:r>
              <w:rPr>
                <w:rFonts w:hint="eastAsia" w:asciiTheme="minorEastAsia" w:hAnsiTheme="minorEastAsia" w:eastAsiaTheme="minorEastAsia" w:cstheme="minorEastAsia"/>
                <w:color w:val="auto"/>
                <w:sz w:val="24"/>
                <w:szCs w:val="24"/>
                <w:highlight w:val="none"/>
              </w:rPr>
              <w:t>)</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2BD75D25">
            <w:pPr>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小计金额</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元</w:t>
            </w:r>
            <w:r>
              <w:rPr>
                <w:rFonts w:hint="eastAsia" w:asciiTheme="minorEastAsia" w:hAnsiTheme="minorEastAsia" w:eastAsiaTheme="minorEastAsia" w:cstheme="minorEastAsia"/>
                <w:color w:val="auto"/>
                <w:sz w:val="24"/>
                <w:szCs w:val="24"/>
                <w:highlight w:val="none"/>
              </w:rPr>
              <w:t>)</w:t>
            </w:r>
          </w:p>
        </w:tc>
      </w:tr>
      <w:tr w14:paraId="456ED259">
        <w:tblPrEx>
          <w:tblCellMar>
            <w:top w:w="0" w:type="dxa"/>
            <w:left w:w="10" w:type="dxa"/>
            <w:bottom w:w="0" w:type="dxa"/>
            <w:right w:w="10" w:type="dxa"/>
          </w:tblCellMar>
        </w:tblPrEx>
        <w:trPr>
          <w:trHeight w:val="484" w:hRule="atLeast"/>
        </w:trPr>
        <w:tc>
          <w:tcPr>
            <w:tcW w:w="567" w:type="dxa"/>
            <w:tcBorders>
              <w:top w:val="single" w:color="000000" w:sz="6" w:space="0"/>
              <w:left w:val="single" w:color="000000" w:sz="6" w:space="0"/>
              <w:bottom w:val="single" w:color="000000" w:sz="6" w:space="0"/>
              <w:right w:val="single" w:color="000000" w:sz="6" w:space="0"/>
            </w:tcBorders>
            <w:noWrap w:val="0"/>
            <w:vAlign w:val="center"/>
          </w:tcPr>
          <w:p w14:paraId="79CBCA6D">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p>
        </w:tc>
        <w:tc>
          <w:tcPr>
            <w:tcW w:w="1843" w:type="dxa"/>
            <w:tcBorders>
              <w:top w:val="single" w:color="000000" w:sz="6" w:space="0"/>
              <w:left w:val="single" w:color="000000" w:sz="6" w:space="0"/>
              <w:bottom w:val="single" w:color="000000" w:sz="6" w:space="0"/>
              <w:right w:val="single" w:color="auto" w:sz="4" w:space="0"/>
            </w:tcBorders>
            <w:noWrap w:val="0"/>
            <w:vAlign w:val="center"/>
          </w:tcPr>
          <w:p w14:paraId="69B416DD">
            <w:pPr>
              <w:spacing w:line="360" w:lineRule="auto"/>
              <w:jc w:val="center"/>
              <w:rPr>
                <w:rFonts w:hint="eastAsia" w:asciiTheme="minorEastAsia" w:hAnsiTheme="minorEastAsia" w:eastAsiaTheme="minorEastAsia" w:cstheme="minorEastAsia"/>
                <w:color w:val="auto"/>
                <w:sz w:val="24"/>
                <w:szCs w:val="24"/>
                <w:highlight w:val="none"/>
                <w:lang w:val="zh-CN"/>
              </w:rPr>
            </w:pPr>
          </w:p>
        </w:tc>
        <w:tc>
          <w:tcPr>
            <w:tcW w:w="2410" w:type="dxa"/>
            <w:tcBorders>
              <w:top w:val="single" w:color="000000" w:sz="6" w:space="0"/>
              <w:left w:val="single" w:color="auto" w:sz="4" w:space="0"/>
              <w:bottom w:val="single" w:color="000000" w:sz="6" w:space="0"/>
              <w:right w:val="single" w:color="000000" w:sz="6" w:space="0"/>
            </w:tcBorders>
            <w:noWrap w:val="0"/>
            <w:vAlign w:val="center"/>
          </w:tcPr>
          <w:p w14:paraId="4E2934A0">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详见投标（响应）文件</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6AFA3802">
            <w:pPr>
              <w:spacing w:line="360" w:lineRule="auto"/>
              <w:jc w:val="center"/>
              <w:rPr>
                <w:rFonts w:hint="eastAsia" w:asciiTheme="minorEastAsia" w:hAnsiTheme="minorEastAsia" w:eastAsiaTheme="minorEastAsia" w:cstheme="minorEastAsia"/>
                <w:color w:val="auto"/>
                <w:sz w:val="24"/>
                <w:szCs w:val="24"/>
                <w:highlight w:val="none"/>
                <w:lang w:val="zh-CN"/>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425D2E85">
            <w:pPr>
              <w:spacing w:line="360" w:lineRule="auto"/>
              <w:jc w:val="both"/>
              <w:rPr>
                <w:rFonts w:hint="eastAsia" w:asciiTheme="minorEastAsia" w:hAnsiTheme="minorEastAsia" w:eastAsiaTheme="minorEastAsia" w:cstheme="minorEastAsia"/>
                <w:color w:val="auto"/>
                <w:sz w:val="24"/>
                <w:szCs w:val="24"/>
                <w:highlight w:val="none"/>
                <w:lang w:val="zh-CN"/>
              </w:rPr>
            </w:pP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450C6D38">
            <w:pPr>
              <w:spacing w:line="360" w:lineRule="auto"/>
              <w:jc w:val="both"/>
              <w:rPr>
                <w:rFonts w:hint="eastAsia" w:asciiTheme="minorEastAsia" w:hAnsiTheme="minorEastAsia" w:eastAsiaTheme="minorEastAsia" w:cstheme="minorEastAsia"/>
                <w:color w:val="auto"/>
                <w:sz w:val="24"/>
                <w:szCs w:val="24"/>
                <w:highlight w:val="none"/>
                <w:lang w:val="zh-CN"/>
              </w:rPr>
            </w:pPr>
          </w:p>
        </w:tc>
      </w:tr>
      <w:tr w14:paraId="499C80DF">
        <w:tblPrEx>
          <w:tblCellMar>
            <w:top w:w="0" w:type="dxa"/>
            <w:left w:w="10" w:type="dxa"/>
            <w:bottom w:w="0" w:type="dxa"/>
            <w:right w:w="10" w:type="dxa"/>
          </w:tblCellMar>
        </w:tblPrEx>
        <w:trPr>
          <w:trHeight w:val="458" w:hRule="atLeast"/>
        </w:trPr>
        <w:tc>
          <w:tcPr>
            <w:tcW w:w="567" w:type="dxa"/>
            <w:tcBorders>
              <w:top w:val="single" w:color="000000" w:sz="6" w:space="0"/>
              <w:left w:val="single" w:color="000000" w:sz="6" w:space="0"/>
              <w:bottom w:val="single" w:color="000000" w:sz="6" w:space="0"/>
              <w:right w:val="single" w:color="000000" w:sz="6" w:space="0"/>
            </w:tcBorders>
            <w:noWrap w:val="0"/>
            <w:vAlign w:val="center"/>
          </w:tcPr>
          <w:p w14:paraId="32AD1FF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843" w:type="dxa"/>
            <w:tcBorders>
              <w:top w:val="single" w:color="000000" w:sz="6" w:space="0"/>
              <w:left w:val="single" w:color="000000" w:sz="6" w:space="0"/>
              <w:bottom w:val="single" w:color="000000" w:sz="6" w:space="0"/>
              <w:right w:val="single" w:color="auto" w:sz="4" w:space="0"/>
            </w:tcBorders>
            <w:noWrap w:val="0"/>
            <w:vAlign w:val="center"/>
          </w:tcPr>
          <w:p w14:paraId="0049CF96">
            <w:pPr>
              <w:spacing w:line="360" w:lineRule="auto"/>
              <w:jc w:val="center"/>
              <w:rPr>
                <w:rFonts w:hint="eastAsia" w:asciiTheme="minorEastAsia" w:hAnsiTheme="minorEastAsia" w:eastAsiaTheme="minorEastAsia" w:cstheme="minorEastAsia"/>
                <w:color w:val="auto"/>
                <w:sz w:val="24"/>
                <w:szCs w:val="24"/>
                <w:highlight w:val="none"/>
              </w:rPr>
            </w:pPr>
          </w:p>
        </w:tc>
        <w:tc>
          <w:tcPr>
            <w:tcW w:w="2410" w:type="dxa"/>
            <w:tcBorders>
              <w:top w:val="single" w:color="000000" w:sz="6" w:space="0"/>
              <w:left w:val="single" w:color="auto" w:sz="4" w:space="0"/>
              <w:bottom w:val="single" w:color="000000" w:sz="6" w:space="0"/>
              <w:right w:val="single" w:color="000000" w:sz="6" w:space="0"/>
            </w:tcBorders>
            <w:noWrap w:val="0"/>
            <w:vAlign w:val="center"/>
          </w:tcPr>
          <w:p w14:paraId="325A900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详见投标（响应）文件</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255C6E5D">
            <w:pPr>
              <w:spacing w:line="360" w:lineRule="auto"/>
              <w:jc w:val="center"/>
              <w:rPr>
                <w:rFonts w:hint="eastAsia" w:asciiTheme="minorEastAsia" w:hAnsiTheme="minorEastAsia" w:eastAsiaTheme="minorEastAsia" w:cstheme="min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50135747">
            <w:pPr>
              <w:spacing w:line="360" w:lineRule="auto"/>
              <w:jc w:val="both"/>
              <w:rPr>
                <w:rFonts w:hint="eastAsia" w:asciiTheme="minorEastAsia" w:hAnsiTheme="minorEastAsia" w:eastAsiaTheme="minorEastAsia" w:cstheme="minorEastAsia"/>
                <w:color w:val="auto"/>
                <w:sz w:val="24"/>
                <w:szCs w:val="24"/>
                <w:highlight w:val="none"/>
              </w:rPr>
            </w:pP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0D445D78">
            <w:pPr>
              <w:spacing w:line="360" w:lineRule="auto"/>
              <w:jc w:val="both"/>
              <w:rPr>
                <w:rFonts w:hint="eastAsia" w:asciiTheme="minorEastAsia" w:hAnsiTheme="minorEastAsia" w:eastAsiaTheme="minorEastAsia" w:cstheme="minorEastAsia"/>
                <w:color w:val="auto"/>
                <w:sz w:val="24"/>
                <w:szCs w:val="24"/>
                <w:highlight w:val="none"/>
              </w:rPr>
            </w:pPr>
          </w:p>
        </w:tc>
      </w:tr>
      <w:tr w14:paraId="2952B077">
        <w:tblPrEx>
          <w:tblCellMar>
            <w:top w:w="0" w:type="dxa"/>
            <w:left w:w="10" w:type="dxa"/>
            <w:bottom w:w="0" w:type="dxa"/>
            <w:right w:w="10" w:type="dxa"/>
          </w:tblCellMar>
        </w:tblPrEx>
        <w:trPr>
          <w:trHeight w:val="458" w:hRule="atLeast"/>
        </w:trPr>
        <w:tc>
          <w:tcPr>
            <w:tcW w:w="567" w:type="dxa"/>
            <w:tcBorders>
              <w:top w:val="single" w:color="000000" w:sz="6" w:space="0"/>
              <w:left w:val="single" w:color="000000" w:sz="6" w:space="0"/>
              <w:bottom w:val="single" w:color="000000" w:sz="6" w:space="0"/>
              <w:right w:val="single" w:color="000000" w:sz="6" w:space="0"/>
            </w:tcBorders>
            <w:noWrap w:val="0"/>
            <w:vAlign w:val="center"/>
          </w:tcPr>
          <w:p w14:paraId="5EF6027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843" w:type="dxa"/>
            <w:tcBorders>
              <w:top w:val="single" w:color="000000" w:sz="6" w:space="0"/>
              <w:left w:val="single" w:color="000000" w:sz="6" w:space="0"/>
              <w:bottom w:val="single" w:color="000000" w:sz="6" w:space="0"/>
              <w:right w:val="single" w:color="auto" w:sz="4" w:space="0"/>
            </w:tcBorders>
            <w:noWrap w:val="0"/>
            <w:vAlign w:val="center"/>
          </w:tcPr>
          <w:p w14:paraId="7C9FB319">
            <w:pPr>
              <w:spacing w:line="360" w:lineRule="auto"/>
              <w:jc w:val="center"/>
              <w:rPr>
                <w:rFonts w:hint="eastAsia" w:asciiTheme="minorEastAsia" w:hAnsiTheme="minorEastAsia" w:eastAsiaTheme="minorEastAsia" w:cstheme="minorEastAsia"/>
                <w:color w:val="auto"/>
                <w:sz w:val="24"/>
                <w:szCs w:val="24"/>
                <w:highlight w:val="none"/>
              </w:rPr>
            </w:pPr>
          </w:p>
        </w:tc>
        <w:tc>
          <w:tcPr>
            <w:tcW w:w="2410" w:type="dxa"/>
            <w:tcBorders>
              <w:top w:val="single" w:color="000000" w:sz="6" w:space="0"/>
              <w:left w:val="single" w:color="auto" w:sz="4" w:space="0"/>
              <w:bottom w:val="single" w:color="000000" w:sz="6" w:space="0"/>
              <w:right w:val="single" w:color="000000" w:sz="6" w:space="0"/>
            </w:tcBorders>
            <w:noWrap w:val="0"/>
            <w:vAlign w:val="center"/>
          </w:tcPr>
          <w:p w14:paraId="3F4A430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详见投标（响应）文件</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5714147">
            <w:pPr>
              <w:spacing w:line="360" w:lineRule="auto"/>
              <w:jc w:val="center"/>
              <w:rPr>
                <w:rFonts w:hint="eastAsia" w:asciiTheme="minorEastAsia" w:hAnsiTheme="minorEastAsia" w:eastAsiaTheme="minorEastAsia" w:cstheme="min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7C5A4A07">
            <w:pPr>
              <w:spacing w:line="360" w:lineRule="auto"/>
              <w:jc w:val="both"/>
              <w:rPr>
                <w:rFonts w:hint="eastAsia" w:asciiTheme="minorEastAsia" w:hAnsiTheme="minorEastAsia" w:eastAsiaTheme="minorEastAsia" w:cstheme="minorEastAsia"/>
                <w:color w:val="auto"/>
                <w:sz w:val="24"/>
                <w:szCs w:val="24"/>
                <w:highlight w:val="none"/>
              </w:rPr>
            </w:pP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5C7EB1B1">
            <w:pPr>
              <w:spacing w:line="360" w:lineRule="auto"/>
              <w:jc w:val="both"/>
              <w:rPr>
                <w:rFonts w:hint="eastAsia" w:asciiTheme="minorEastAsia" w:hAnsiTheme="minorEastAsia" w:eastAsiaTheme="minorEastAsia" w:cstheme="minorEastAsia"/>
                <w:color w:val="auto"/>
                <w:sz w:val="24"/>
                <w:szCs w:val="24"/>
                <w:highlight w:val="none"/>
              </w:rPr>
            </w:pPr>
          </w:p>
        </w:tc>
      </w:tr>
      <w:tr w14:paraId="7EF789BC">
        <w:tblPrEx>
          <w:tblCellMar>
            <w:top w:w="0" w:type="dxa"/>
            <w:left w:w="10" w:type="dxa"/>
            <w:bottom w:w="0" w:type="dxa"/>
            <w:right w:w="10" w:type="dxa"/>
          </w:tblCellMar>
        </w:tblPrEx>
        <w:trPr>
          <w:trHeight w:val="458" w:hRule="atLeast"/>
        </w:trPr>
        <w:tc>
          <w:tcPr>
            <w:tcW w:w="567" w:type="dxa"/>
            <w:tcBorders>
              <w:top w:val="single" w:color="000000" w:sz="6" w:space="0"/>
              <w:left w:val="single" w:color="000000" w:sz="6" w:space="0"/>
              <w:bottom w:val="single" w:color="000000" w:sz="6" w:space="0"/>
              <w:right w:val="single" w:color="000000" w:sz="6" w:space="0"/>
            </w:tcBorders>
            <w:noWrap w:val="0"/>
            <w:vAlign w:val="center"/>
          </w:tcPr>
          <w:p w14:paraId="05E7C170">
            <w:pPr>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w:t>
            </w:r>
          </w:p>
        </w:tc>
        <w:tc>
          <w:tcPr>
            <w:tcW w:w="6379" w:type="dxa"/>
            <w:gridSpan w:val="4"/>
            <w:tcBorders>
              <w:top w:val="single" w:color="000000" w:sz="6" w:space="0"/>
              <w:left w:val="single" w:color="000000" w:sz="6" w:space="0"/>
              <w:bottom w:val="single" w:color="000000" w:sz="6" w:space="0"/>
              <w:right w:val="single" w:color="000000" w:sz="6" w:space="0"/>
            </w:tcBorders>
            <w:noWrap w:val="0"/>
            <w:vAlign w:val="center"/>
          </w:tcPr>
          <w:p w14:paraId="044A18F2">
            <w:pPr>
              <w:spacing w:line="360" w:lineRule="auto"/>
              <w:jc w:val="both"/>
              <w:rPr>
                <w:rFonts w:hint="eastAsia" w:asciiTheme="minorEastAsia" w:hAnsiTheme="minorEastAsia" w:eastAsiaTheme="minorEastAsia" w:cstheme="minorEastAsia"/>
                <w:color w:val="auto"/>
                <w:sz w:val="24"/>
                <w:szCs w:val="24"/>
                <w:highlight w:val="none"/>
              </w:rPr>
            </w:pP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7A1A3AFC">
            <w:pPr>
              <w:spacing w:line="360" w:lineRule="auto"/>
              <w:jc w:val="both"/>
              <w:rPr>
                <w:rFonts w:hint="eastAsia" w:asciiTheme="minorEastAsia" w:hAnsiTheme="minorEastAsia" w:eastAsiaTheme="minorEastAsia" w:cstheme="minorEastAsia"/>
                <w:color w:val="auto"/>
                <w:sz w:val="24"/>
                <w:szCs w:val="24"/>
                <w:highlight w:val="none"/>
              </w:rPr>
            </w:pPr>
          </w:p>
        </w:tc>
      </w:tr>
    </w:tbl>
    <w:p w14:paraId="1B1A8B8C">
      <w:pPr>
        <w:snapToGrid w:val="0"/>
        <w:spacing w:line="360" w:lineRule="auto"/>
        <w:ind w:firstLine="472" w:firstLineChars="196"/>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二、合同价格：</w:t>
      </w:r>
      <w:r>
        <w:rPr>
          <w:rFonts w:hint="eastAsia" w:asciiTheme="minorEastAsia" w:hAnsiTheme="minorEastAsia" w:eastAsiaTheme="minorEastAsia" w:cstheme="minorEastAsia"/>
          <w:color w:val="auto"/>
          <w:sz w:val="24"/>
          <w:szCs w:val="24"/>
          <w:highlight w:val="none"/>
          <w:lang w:val="zh-CN"/>
        </w:rPr>
        <w:t>人民币（大写）</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元整，（小写）</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元。</w:t>
      </w:r>
    </w:p>
    <w:p w14:paraId="10CDCBED">
      <w:pPr>
        <w:snapToGrid w:val="0"/>
        <w:spacing w:line="360" w:lineRule="auto"/>
        <w:ind w:firstLine="472" w:firstLineChars="196"/>
        <w:jc w:val="both"/>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三、供货时间、地点、方式</w:t>
      </w:r>
    </w:p>
    <w:p w14:paraId="7CCB9026">
      <w:pPr>
        <w:snapToGrid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1.供货时间： ****年**月**日前。所有服务完毕、验收合格的日期为供货时间。</w:t>
      </w:r>
    </w:p>
    <w:p w14:paraId="1116884E">
      <w:pPr>
        <w:snapToGrid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2.供货地点： </w:t>
      </w:r>
    </w:p>
    <w:p w14:paraId="754293F7">
      <w:pPr>
        <w:snapToGrid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3.服务方式：</w:t>
      </w:r>
    </w:p>
    <w:p w14:paraId="09DB0737">
      <w:pPr>
        <w:snapToGrid w:val="0"/>
        <w:spacing w:line="360" w:lineRule="auto"/>
        <w:ind w:firstLine="482" w:firstLineChars="200"/>
        <w:jc w:val="both"/>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四、付款方式 </w:t>
      </w:r>
    </w:p>
    <w:p w14:paraId="13F9D081">
      <w:pPr>
        <w:snapToGrid w:val="0"/>
        <w:spacing w:line="360" w:lineRule="auto"/>
        <w:ind w:firstLine="472" w:firstLineChars="196"/>
        <w:jc w:val="both"/>
        <w:rPr>
          <w:rFonts w:hint="eastAsia" w:asciiTheme="minorEastAsia" w:hAnsiTheme="minorEastAsia" w:eastAsiaTheme="minorEastAsia" w:cstheme="minorEastAsia"/>
          <w:color w:val="auto"/>
          <w:sz w:val="24"/>
          <w:szCs w:val="24"/>
          <w:highlight w:val="none"/>
          <w:u w:val="single"/>
          <w:lang w:val="zh-CN"/>
        </w:rPr>
      </w:pPr>
      <w:r>
        <w:rPr>
          <w:rFonts w:hint="eastAsia" w:asciiTheme="minorEastAsia" w:hAnsiTheme="minorEastAsia" w:eastAsiaTheme="minorEastAsia" w:cstheme="minorEastAsia"/>
          <w:b/>
          <w:color w:val="auto"/>
          <w:sz w:val="24"/>
          <w:szCs w:val="24"/>
          <w:highlight w:val="none"/>
          <w:lang w:val="zh-CN"/>
        </w:rPr>
        <w:t>采购人</w:t>
      </w:r>
      <w:r>
        <w:rPr>
          <w:rFonts w:hint="eastAsia" w:asciiTheme="minorEastAsia" w:hAnsiTheme="minorEastAsia" w:eastAsiaTheme="minorEastAsia" w:cstheme="minorEastAsia"/>
          <w:b/>
          <w:bCs/>
          <w:color w:val="auto"/>
          <w:sz w:val="24"/>
          <w:szCs w:val="24"/>
          <w:highlight w:val="none"/>
          <w:lang w:val="zh-CN"/>
        </w:rPr>
        <w:t>自行付款：</w:t>
      </w:r>
      <w:r>
        <w:rPr>
          <w:rFonts w:hint="eastAsia" w:asciiTheme="minorEastAsia" w:hAnsiTheme="minorEastAsia" w:eastAsiaTheme="minorEastAsia" w:cstheme="minorEastAsia"/>
          <w:color w:val="auto"/>
          <w:sz w:val="24"/>
          <w:szCs w:val="24"/>
          <w:highlight w:val="none"/>
          <w:lang w:val="zh-CN"/>
        </w:rPr>
        <w:t>本合同总价款中由采购人自行支付</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元。采购人承诺在验收合格后支付。如果采购人届时不能支付或者不能全额支付，由采购人承担违约责任，服务方承担全部收款责任。</w:t>
      </w:r>
    </w:p>
    <w:p w14:paraId="34BC3077">
      <w:pPr>
        <w:spacing w:line="360" w:lineRule="auto"/>
        <w:ind w:firstLine="472" w:firstLineChars="196"/>
        <w:contextualSpacing/>
        <w:jc w:val="both"/>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五、履约保证金</w:t>
      </w:r>
    </w:p>
    <w:p w14:paraId="79463051">
      <w:pPr>
        <w:snapToGrid w:val="0"/>
        <w:spacing w:line="360" w:lineRule="auto"/>
        <w:ind w:firstLine="480" w:firstLineChars="200"/>
        <w:contextualSpacing/>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1.在签署本合同之前，服务方应向</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val="zh-CN"/>
        </w:rPr>
        <w:t>提交合同总价款3%的履约保证金（取整数位到百元）。履约保证金采用银行转账、保函</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lang w:val="zh-CN"/>
        </w:rPr>
        <w:t>方式提交。</w:t>
      </w:r>
    </w:p>
    <w:p w14:paraId="499FE01B">
      <w:pPr>
        <w:snapToGrid w:val="0"/>
        <w:spacing w:line="360" w:lineRule="auto"/>
        <w:ind w:firstLine="480" w:firstLineChars="200"/>
        <w:contextualSpacing/>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2.履约保证金由采购人在服务验收合格</w:t>
      </w:r>
      <w:r>
        <w:rPr>
          <w:rFonts w:hint="eastAsia" w:asciiTheme="minorEastAsia" w:hAnsiTheme="minorEastAsia" w:eastAsiaTheme="minorEastAsia" w:cstheme="minorEastAsia"/>
          <w:color w:val="auto"/>
          <w:sz w:val="24"/>
          <w:szCs w:val="24"/>
          <w:highlight w:val="none"/>
          <w:lang w:val="en-US" w:eastAsia="zh-CN"/>
        </w:rPr>
        <w:t>后</w:t>
      </w:r>
      <w:r>
        <w:rPr>
          <w:rFonts w:hint="eastAsia" w:asciiTheme="minorEastAsia" w:hAnsiTheme="minorEastAsia" w:eastAsiaTheme="minorEastAsia" w:cstheme="minorEastAsia"/>
          <w:color w:val="auto"/>
          <w:sz w:val="24"/>
          <w:szCs w:val="24"/>
          <w:highlight w:val="none"/>
          <w:lang w:val="zh-CN"/>
        </w:rPr>
        <w:t>2个工作日内以银行转账、退回保函</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lang w:val="zh-CN"/>
        </w:rPr>
        <w:t>方式</w:t>
      </w:r>
      <w:r>
        <w:rPr>
          <w:rFonts w:hint="eastAsia" w:asciiTheme="minorEastAsia" w:hAnsiTheme="minorEastAsia" w:eastAsiaTheme="minorEastAsia" w:cstheme="minorEastAsia"/>
          <w:color w:val="auto"/>
          <w:sz w:val="24"/>
          <w:szCs w:val="24"/>
          <w:highlight w:val="none"/>
          <w:lang w:val="en-US" w:eastAsia="zh-CN"/>
        </w:rPr>
        <w:t>返还</w:t>
      </w:r>
      <w:r>
        <w:rPr>
          <w:rFonts w:hint="eastAsia" w:asciiTheme="minorEastAsia" w:hAnsiTheme="minorEastAsia" w:eastAsiaTheme="minorEastAsia" w:cstheme="minorEastAsia"/>
          <w:color w:val="auto"/>
          <w:sz w:val="24"/>
          <w:szCs w:val="24"/>
          <w:highlight w:val="none"/>
          <w:lang w:val="zh-CN"/>
        </w:rPr>
        <w:t>，不计利息。</w:t>
      </w:r>
    </w:p>
    <w:p w14:paraId="350E3BF9">
      <w:pPr>
        <w:spacing w:line="360" w:lineRule="auto"/>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    六、误期赔偿</w:t>
      </w:r>
    </w:p>
    <w:p w14:paraId="0515AF2D">
      <w:pPr>
        <w:snapToGrid w:val="0"/>
        <w:spacing w:line="360" w:lineRule="auto"/>
        <w:ind w:firstLine="480" w:firstLineChars="200"/>
        <w:contextualSpacing/>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除不可抗力的情形外，如果供方没有按照合同规定的时间提供服务，供方应向采购人支付误期赔偿费。误期赔偿费每周按延期服务的服务费用的百分之一（1%）计收，直至服务或提供服务为止。一周按七天计算，不足七天按一周计算。但误期赔偿费的最高限额不超过合同价的百分之五（5%）。</w:t>
      </w:r>
    </w:p>
    <w:p w14:paraId="1B353B1A">
      <w:pPr>
        <w:snapToGrid w:val="0"/>
        <w:spacing w:line="360" w:lineRule="auto"/>
        <w:ind w:firstLine="480" w:firstLineChars="200"/>
        <w:contextualSpacing/>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2.误期赔偿费可从应付服务费用和/或履约保证金中扣除。</w:t>
      </w:r>
    </w:p>
    <w:p w14:paraId="74A4C9D7">
      <w:pPr>
        <w:snapToGrid w:val="0"/>
        <w:spacing w:line="360" w:lineRule="auto"/>
        <w:ind w:firstLine="480" w:firstLineChars="200"/>
        <w:contextualSpacing/>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3.收取误期赔偿费不影响采购人采取合同规定的其他补救措施的权利。</w:t>
      </w:r>
    </w:p>
    <w:p w14:paraId="2DECAB5B">
      <w:pPr>
        <w:snapToGrid w:val="0"/>
        <w:spacing w:line="360" w:lineRule="auto"/>
        <w:ind w:firstLine="480" w:firstLineChars="200"/>
        <w:contextualSpacing/>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4.在收取误期赔偿费期间，采购人有权决定是否终止合同。</w:t>
      </w:r>
    </w:p>
    <w:p w14:paraId="370F7725">
      <w:pPr>
        <w:snapToGrid w:val="0"/>
        <w:spacing w:line="360" w:lineRule="auto"/>
        <w:ind w:firstLine="480" w:firstLineChars="200"/>
        <w:contextualSpacing/>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5.如果采购人违约，应承担相应的违约责任。</w:t>
      </w:r>
    </w:p>
    <w:p w14:paraId="51A267A1">
      <w:pPr>
        <w:tabs>
          <w:tab w:val="left" w:pos="1620"/>
        </w:tabs>
        <w:snapToGrid w:val="0"/>
        <w:spacing w:line="360" w:lineRule="auto"/>
        <w:ind w:firstLine="472" w:firstLineChars="19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zh-CN"/>
        </w:rPr>
        <w:t>七、</w:t>
      </w:r>
      <w:r>
        <w:rPr>
          <w:rFonts w:hint="eastAsia" w:asciiTheme="minorEastAsia" w:hAnsiTheme="minorEastAsia" w:eastAsiaTheme="minorEastAsia" w:cstheme="minorEastAsia"/>
          <w:b/>
          <w:color w:val="auto"/>
          <w:sz w:val="24"/>
          <w:szCs w:val="24"/>
          <w:highlight w:val="none"/>
        </w:rPr>
        <w:t>验收：</w:t>
      </w:r>
      <w:r>
        <w:rPr>
          <w:rFonts w:hint="eastAsia" w:asciiTheme="minorEastAsia" w:hAnsiTheme="minorEastAsia" w:eastAsiaTheme="minorEastAsia" w:cstheme="minorEastAsia"/>
          <w:color w:val="auto"/>
          <w:sz w:val="24"/>
          <w:szCs w:val="24"/>
          <w:highlight w:val="none"/>
        </w:rPr>
        <w:t>采购人应当成立由本单位采购项目使用部门以及资产管理、财务、纪检监察等部门及相关专业技术人员参加的验收组，由本单位有关负责人担任组长，制订验收方案，按照合同规定的技术、服务、安全标准集体组织对供应商履约情况进行验收，并出具验收书。</w:t>
      </w:r>
    </w:p>
    <w:p w14:paraId="74EFA2BC">
      <w:pPr>
        <w:tabs>
          <w:tab w:val="left" w:pos="1620"/>
        </w:tabs>
        <w:snapToGrid w:val="0"/>
        <w:spacing w:line="360" w:lineRule="auto"/>
        <w:ind w:firstLine="472" w:firstLineChars="196"/>
        <w:jc w:val="both"/>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八、合同补充条款：</w:t>
      </w:r>
    </w:p>
    <w:p w14:paraId="14A7B50A">
      <w:pPr>
        <w:snapToGrid w:val="0"/>
        <w:spacing w:line="360" w:lineRule="auto"/>
        <w:ind w:firstLine="482" w:firstLineChars="200"/>
        <w:contextualSpacing/>
        <w:jc w:val="both"/>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九、争议解决方式：</w:t>
      </w:r>
      <w:r>
        <w:rPr>
          <w:rFonts w:hint="eastAsia" w:asciiTheme="minorEastAsia" w:hAnsiTheme="minorEastAsia" w:eastAsiaTheme="minorEastAsia" w:cstheme="minorEastAsia"/>
          <w:color w:val="auto"/>
          <w:sz w:val="24"/>
          <w:szCs w:val="24"/>
          <w:highlight w:val="none"/>
          <w:lang w:val="zh-CN"/>
        </w:rPr>
        <w:t>向合同签</w:t>
      </w:r>
      <w:r>
        <w:rPr>
          <w:rFonts w:hint="eastAsia" w:asciiTheme="minorEastAsia" w:hAnsiTheme="minorEastAsia" w:eastAsiaTheme="minorEastAsia" w:cstheme="minorEastAsia"/>
          <w:color w:val="auto"/>
          <w:sz w:val="24"/>
          <w:szCs w:val="24"/>
          <w:highlight w:val="none"/>
          <w:lang w:val="en-US" w:eastAsia="zh-CN"/>
        </w:rPr>
        <w:t>订</w:t>
      </w:r>
      <w:r>
        <w:rPr>
          <w:rFonts w:hint="eastAsia" w:asciiTheme="minorEastAsia" w:hAnsiTheme="minorEastAsia" w:eastAsiaTheme="minorEastAsia" w:cstheme="minorEastAsia"/>
          <w:color w:val="auto"/>
          <w:sz w:val="24"/>
          <w:szCs w:val="24"/>
          <w:highlight w:val="none"/>
          <w:lang w:val="zh-CN"/>
        </w:rPr>
        <w:t>地人民法院提起诉讼。</w:t>
      </w:r>
    </w:p>
    <w:p w14:paraId="26D742FB">
      <w:pPr>
        <w:snapToGrid w:val="0"/>
        <w:spacing w:line="360" w:lineRule="auto"/>
        <w:contextualSpacing/>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b/>
          <w:bCs/>
          <w:color w:val="auto"/>
          <w:sz w:val="24"/>
          <w:szCs w:val="24"/>
          <w:highlight w:val="none"/>
          <w:lang w:val="zh-CN"/>
        </w:rPr>
        <w:t xml:space="preserve"> 十、合同份数：</w:t>
      </w:r>
      <w:r>
        <w:rPr>
          <w:rFonts w:hint="eastAsia" w:asciiTheme="minorEastAsia" w:hAnsiTheme="minorEastAsia" w:eastAsiaTheme="minorEastAsia" w:cstheme="minorEastAsia"/>
          <w:color w:val="auto"/>
          <w:sz w:val="24"/>
          <w:szCs w:val="24"/>
          <w:highlight w:val="none"/>
          <w:lang w:val="zh-CN"/>
        </w:rPr>
        <w:t>本合同一式四份，</w:t>
      </w:r>
      <w:r>
        <w:rPr>
          <w:rFonts w:hint="eastAsia" w:asciiTheme="minorEastAsia" w:hAnsiTheme="minorEastAsia" w:eastAsiaTheme="minorEastAsia" w:cstheme="minorEastAsia"/>
          <w:color w:val="auto"/>
          <w:sz w:val="24"/>
          <w:szCs w:val="24"/>
          <w:highlight w:val="none"/>
        </w:rPr>
        <w:t>采购人、</w:t>
      </w:r>
      <w:r>
        <w:rPr>
          <w:rFonts w:hint="eastAsia" w:asciiTheme="minorEastAsia" w:hAnsiTheme="minorEastAsia" w:eastAsiaTheme="minorEastAsia" w:cstheme="minorEastAsia"/>
          <w:color w:val="auto"/>
          <w:sz w:val="24"/>
          <w:szCs w:val="24"/>
          <w:highlight w:val="none"/>
          <w:lang w:val="zh-CN"/>
        </w:rPr>
        <w:t>服务方各执</w:t>
      </w:r>
      <w:r>
        <w:rPr>
          <w:rFonts w:hint="eastAsia" w:asciiTheme="minorEastAsia" w:hAnsiTheme="minorEastAsia" w:eastAsiaTheme="minorEastAsia" w:cstheme="minorEastAsia"/>
          <w:color w:val="auto"/>
          <w:sz w:val="24"/>
          <w:szCs w:val="24"/>
          <w:highlight w:val="none"/>
          <w:lang w:val="en-US" w:eastAsia="zh-CN"/>
        </w:rPr>
        <w:t>两</w:t>
      </w:r>
      <w:r>
        <w:rPr>
          <w:rFonts w:hint="eastAsia" w:asciiTheme="minorEastAsia" w:hAnsiTheme="minorEastAsia" w:eastAsiaTheme="minorEastAsia" w:cstheme="minorEastAsia"/>
          <w:color w:val="auto"/>
          <w:sz w:val="24"/>
          <w:szCs w:val="24"/>
          <w:highlight w:val="none"/>
          <w:lang w:val="zh-CN"/>
        </w:rPr>
        <w:t xml:space="preserve">份。 </w:t>
      </w:r>
    </w:p>
    <w:p w14:paraId="2F49BFC9">
      <w:pPr>
        <w:snapToGrid w:val="0"/>
        <w:spacing w:line="360" w:lineRule="auto"/>
        <w:ind w:firstLine="482" w:firstLineChars="200"/>
        <w:contextualSpacing/>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十一、合同生效：</w:t>
      </w:r>
      <w:r>
        <w:rPr>
          <w:rFonts w:hint="eastAsia" w:asciiTheme="minorEastAsia" w:hAnsiTheme="minorEastAsia" w:eastAsiaTheme="minorEastAsia" w:cstheme="minorEastAsia"/>
          <w:bCs/>
          <w:color w:val="auto"/>
          <w:sz w:val="24"/>
          <w:szCs w:val="24"/>
          <w:highlight w:val="none"/>
          <w:lang w:val="zh-CN"/>
        </w:rPr>
        <w:t>本合同在采购人和服务方双方法定代表人或其授权代理人签字、加盖双方公章或者合同专用章</w:t>
      </w:r>
      <w:r>
        <w:rPr>
          <w:rFonts w:hint="eastAsia" w:asciiTheme="minorEastAsia" w:hAnsiTheme="minorEastAsia" w:eastAsiaTheme="minorEastAsia" w:cstheme="minorEastAsia"/>
          <w:bCs/>
          <w:color w:val="auto"/>
          <w:sz w:val="24"/>
          <w:szCs w:val="24"/>
          <w:highlight w:val="none"/>
          <w:lang w:val="en-US" w:eastAsia="zh-CN"/>
        </w:rPr>
        <w:t>之日起生效</w:t>
      </w:r>
      <w:r>
        <w:rPr>
          <w:rFonts w:hint="eastAsia" w:asciiTheme="minorEastAsia" w:hAnsiTheme="minorEastAsia" w:eastAsiaTheme="minorEastAsia" w:cstheme="minorEastAsia"/>
          <w:bCs/>
          <w:color w:val="auto"/>
          <w:sz w:val="24"/>
          <w:szCs w:val="24"/>
          <w:highlight w:val="none"/>
          <w:lang w:val="zh-CN"/>
        </w:rPr>
        <w:t>。</w:t>
      </w:r>
    </w:p>
    <w:p w14:paraId="226317B4">
      <w:pPr>
        <w:snapToGrid w:val="0"/>
        <w:spacing w:line="360" w:lineRule="auto"/>
        <w:ind w:firstLine="482" w:firstLineChars="200"/>
        <w:contextualSpacing/>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十二、合同修改：</w:t>
      </w:r>
      <w:r>
        <w:rPr>
          <w:rFonts w:hint="eastAsia" w:asciiTheme="minorEastAsia" w:hAnsiTheme="minorEastAsia" w:eastAsiaTheme="minorEastAsia" w:cstheme="minorEastAsia"/>
          <w:color w:val="auto"/>
          <w:sz w:val="24"/>
          <w:szCs w:val="24"/>
          <w:highlight w:val="none"/>
          <w:lang w:val="zh-CN"/>
        </w:rPr>
        <w:t>除</w:t>
      </w:r>
      <w:r>
        <w:rPr>
          <w:rFonts w:hint="eastAsia" w:asciiTheme="minorEastAsia" w:hAnsiTheme="minorEastAsia" w:eastAsiaTheme="minorEastAsia" w:cstheme="minorEastAsia"/>
          <w:color w:val="auto"/>
          <w:sz w:val="24"/>
          <w:szCs w:val="24"/>
          <w:highlight w:val="none"/>
        </w:rPr>
        <w:t>采购人、</w:t>
      </w:r>
      <w:r>
        <w:rPr>
          <w:rFonts w:hint="eastAsia" w:asciiTheme="minorEastAsia" w:hAnsiTheme="minorEastAsia" w:eastAsiaTheme="minorEastAsia" w:cstheme="minorEastAsia"/>
          <w:color w:val="auto"/>
          <w:sz w:val="24"/>
          <w:szCs w:val="24"/>
          <w:highlight w:val="none"/>
          <w:lang w:val="zh-CN"/>
        </w:rPr>
        <w:t>服务方双方签署书面修改、补充协议外，本合同条件不得有任何变化或修改。</w:t>
      </w:r>
    </w:p>
    <w:p w14:paraId="0779A615">
      <w:pPr>
        <w:spacing w:line="360" w:lineRule="auto"/>
        <w:rPr>
          <w:rFonts w:hint="eastAsia" w:asciiTheme="minorEastAsia" w:hAnsiTheme="minorEastAsia" w:eastAsiaTheme="minorEastAsia" w:cstheme="minorEastAsia"/>
          <w:color w:val="auto"/>
          <w:sz w:val="24"/>
          <w:szCs w:val="24"/>
          <w:highlight w:val="none"/>
          <w:lang w:val="zh-CN"/>
        </w:rPr>
      </w:pPr>
    </w:p>
    <w:p w14:paraId="5BBD1341">
      <w:pPr>
        <w:snapToGri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采购人：                   服务方：</w:t>
      </w:r>
    </w:p>
    <w:p w14:paraId="5AFFBB5A">
      <w:pPr>
        <w:snapToGri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（公章或合同专用章）       （公章或合同专用章）          </w:t>
      </w:r>
    </w:p>
    <w:p w14:paraId="1BFCD6D9">
      <w:pPr>
        <w:snapToGri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法定代表人                  法定代表人                       </w:t>
      </w:r>
    </w:p>
    <w:p w14:paraId="52AB1750">
      <w:pPr>
        <w:snapToGri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或授权代理人签字：          或授权代理人签字：            </w:t>
      </w:r>
    </w:p>
    <w:p w14:paraId="383BB5C7">
      <w:pPr>
        <w:snapToGri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签字日期：                  签字日期：             </w:t>
      </w:r>
    </w:p>
    <w:p w14:paraId="1BE55F34">
      <w:pPr>
        <w:snapToGrid w:val="0"/>
        <w:spacing w:line="360" w:lineRule="auto"/>
        <w:rPr>
          <w:rFonts w:hint="eastAsia" w:asciiTheme="minorEastAsia" w:hAnsiTheme="minorEastAsia" w:eastAsiaTheme="minorEastAsia" w:cstheme="minorEastAsia"/>
          <w:color w:val="auto"/>
          <w:sz w:val="32"/>
          <w:szCs w:val="32"/>
          <w:highlight w:val="none"/>
          <w:lang w:val="zh-CN"/>
        </w:rPr>
      </w:pPr>
      <w:r>
        <w:rPr>
          <w:rFonts w:hint="eastAsia" w:asciiTheme="minorEastAsia" w:hAnsiTheme="minorEastAsia" w:eastAsiaTheme="minorEastAsia" w:cstheme="minorEastAsia"/>
          <w:color w:val="auto"/>
          <w:sz w:val="24"/>
          <w:szCs w:val="24"/>
          <w:highlight w:val="none"/>
          <w:lang w:val="zh-CN"/>
        </w:rPr>
        <w:t xml:space="preserve">联系电话：                  联系电话： </w:t>
      </w:r>
      <w:r>
        <w:rPr>
          <w:rFonts w:hint="eastAsia" w:asciiTheme="minorEastAsia" w:hAnsiTheme="minorEastAsia" w:eastAsiaTheme="minorEastAsia" w:cstheme="minorEastAsia"/>
          <w:color w:val="auto"/>
          <w:sz w:val="32"/>
          <w:szCs w:val="32"/>
          <w:highlight w:val="none"/>
          <w:lang w:val="zh-CN"/>
        </w:rPr>
        <w:t xml:space="preserve">             </w:t>
      </w:r>
    </w:p>
    <w:p w14:paraId="37AD880E">
      <w:pPr>
        <w:snapToGrid w:val="0"/>
        <w:spacing w:line="360" w:lineRule="auto"/>
        <w:rPr>
          <w:rFonts w:hint="eastAsia" w:asciiTheme="minorEastAsia" w:hAnsiTheme="minorEastAsia" w:eastAsiaTheme="minorEastAsia" w:cstheme="minorEastAsia"/>
          <w:color w:val="auto"/>
          <w:sz w:val="32"/>
          <w:szCs w:val="32"/>
          <w:highlight w:val="none"/>
          <w:lang w:val="zh-CN"/>
        </w:rPr>
      </w:pPr>
    </w:p>
    <w:p w14:paraId="7004318A">
      <w:pPr>
        <w:snapToGrid w:val="0"/>
        <w:spacing w:line="360" w:lineRule="auto"/>
        <w:rPr>
          <w:rFonts w:hint="eastAsia" w:asciiTheme="minorEastAsia" w:hAnsiTheme="minorEastAsia" w:eastAsiaTheme="minorEastAsia" w:cstheme="minorEastAsia"/>
          <w:color w:val="auto"/>
          <w:sz w:val="32"/>
          <w:szCs w:val="32"/>
          <w:highlight w:val="none"/>
          <w:lang w:val="zh-CN"/>
        </w:rPr>
      </w:pPr>
    </w:p>
    <w:p w14:paraId="5EBBF00A">
      <w:pPr>
        <w:pStyle w:val="2"/>
        <w:spacing w:before="0" w:after="0" w:line="360" w:lineRule="auto"/>
        <w:jc w:val="center"/>
        <w:rPr>
          <w:rFonts w:ascii="宋体" w:hAnsi="宋体" w:cs="宋体"/>
          <w:color w:val="auto"/>
          <w:sz w:val="36"/>
          <w:szCs w:val="36"/>
          <w:highlight w:val="none"/>
        </w:rPr>
      </w:pPr>
      <w:bookmarkStart w:id="72" w:name="_Toc28313"/>
      <w:r>
        <w:rPr>
          <w:rFonts w:hint="eastAsia" w:ascii="宋体" w:hAnsi="宋体" w:cs="宋体"/>
          <w:color w:val="auto"/>
          <w:sz w:val="36"/>
          <w:szCs w:val="36"/>
          <w:highlight w:val="none"/>
        </w:rPr>
        <w:t xml:space="preserve">第六部分  </w:t>
      </w:r>
      <w:bookmarkEnd w:id="66"/>
      <w:r>
        <w:rPr>
          <w:rFonts w:hint="eastAsia" w:ascii="宋体" w:hAnsi="宋体" w:cs="宋体"/>
          <w:color w:val="auto"/>
          <w:sz w:val="36"/>
          <w:szCs w:val="36"/>
          <w:highlight w:val="none"/>
        </w:rPr>
        <w:t>投标文件格式</w:t>
      </w:r>
      <w:bookmarkEnd w:id="72"/>
    </w:p>
    <w:p w14:paraId="06EB490E">
      <w:pPr>
        <w:spacing w:line="440" w:lineRule="exact"/>
        <w:rPr>
          <w:rFonts w:ascii="宋体" w:hAnsi="宋体" w:cs="宋体"/>
          <w:color w:val="auto"/>
          <w:highlight w:val="none"/>
        </w:rPr>
      </w:pPr>
    </w:p>
    <w:p w14:paraId="39F7BA69">
      <w:pPr>
        <w:rPr>
          <w:rFonts w:ascii="宋体" w:hAnsi="宋体" w:cs="宋体"/>
          <w:color w:val="auto"/>
          <w:highlight w:val="none"/>
        </w:rPr>
      </w:pPr>
      <w:r>
        <w:rPr>
          <w:rFonts w:hint="eastAsia" w:ascii="宋体" w:hAnsi="宋体" w:cs="宋体"/>
          <w:color w:val="auto"/>
          <w:highlight w:val="none"/>
        </w:rPr>
        <w:br w:type="page"/>
      </w:r>
    </w:p>
    <w:p w14:paraId="13141287">
      <w:pPr>
        <w:pStyle w:val="65"/>
        <w:rPr>
          <w:rFonts w:ascii="宋体" w:hAnsi="宋体" w:eastAsia="宋体" w:cs="宋体"/>
          <w:color w:val="auto"/>
          <w:highlight w:val="none"/>
        </w:rPr>
      </w:pPr>
    </w:p>
    <w:p w14:paraId="46FB9993">
      <w:pPr>
        <w:pStyle w:val="65"/>
        <w:rPr>
          <w:rFonts w:ascii="宋体" w:hAnsi="宋体" w:eastAsia="宋体" w:cs="宋体"/>
          <w:color w:val="auto"/>
          <w:highlight w:val="none"/>
        </w:rPr>
      </w:pPr>
    </w:p>
    <w:p w14:paraId="231EBDBE">
      <w:pPr>
        <w:pStyle w:val="65"/>
        <w:rPr>
          <w:rFonts w:ascii="宋体" w:hAnsi="宋体" w:eastAsia="宋体" w:cs="宋体"/>
          <w:color w:val="auto"/>
          <w:highlight w:val="none"/>
        </w:rPr>
      </w:pPr>
    </w:p>
    <w:p w14:paraId="5E788AA6">
      <w:pPr>
        <w:pStyle w:val="65"/>
        <w:rPr>
          <w:rFonts w:ascii="宋体" w:hAnsi="宋体" w:eastAsia="宋体" w:cs="宋体"/>
          <w:color w:val="auto"/>
          <w:highlight w:val="none"/>
        </w:rPr>
      </w:pPr>
    </w:p>
    <w:p w14:paraId="6A4D91A7">
      <w:pPr>
        <w:spacing w:line="440" w:lineRule="exact"/>
        <w:rPr>
          <w:rFonts w:ascii="宋体" w:hAnsi="宋体" w:cs="宋体"/>
          <w:color w:val="auto"/>
          <w:highlight w:val="none"/>
        </w:rPr>
      </w:pPr>
    </w:p>
    <w:p w14:paraId="67317076">
      <w:pPr>
        <w:jc w:val="center"/>
        <w:rPr>
          <w:rFonts w:hint="eastAsia" w:ascii="宋体" w:hAnsi="宋体" w:cs="宋体"/>
          <w:color w:val="auto"/>
          <w:sz w:val="36"/>
          <w:szCs w:val="36"/>
          <w:highlight w:val="none"/>
        </w:rPr>
      </w:pP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rPr>
        <w:t>（项目名称）</w:t>
      </w:r>
    </w:p>
    <w:p w14:paraId="767AACCA">
      <w:pPr>
        <w:jc w:val="center"/>
        <w:rPr>
          <w:rFonts w:hint="eastAsia" w:ascii="宋体" w:hAnsi="宋体" w:cs="宋体"/>
          <w:color w:val="auto"/>
          <w:sz w:val="36"/>
          <w:szCs w:val="36"/>
          <w:highlight w:val="none"/>
          <w:u w:val="single"/>
        </w:rPr>
      </w:pPr>
    </w:p>
    <w:p w14:paraId="5BE2A8DF">
      <w:pPr>
        <w:jc w:val="center"/>
        <w:rPr>
          <w:rFonts w:hint="default" w:ascii="宋体" w:hAnsi="宋体" w:eastAsia="宋体" w:cs="宋体"/>
          <w:color w:val="auto"/>
          <w:sz w:val="36"/>
          <w:szCs w:val="36"/>
          <w:highlight w:val="none"/>
          <w:lang w:val="en-US" w:eastAsia="zh-CN"/>
        </w:rPr>
      </w:pP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lang w:val="en-US" w:eastAsia="zh-CN"/>
        </w:rPr>
        <w:t>包号</w:t>
      </w:r>
    </w:p>
    <w:p w14:paraId="036360D0">
      <w:pPr>
        <w:jc w:val="center"/>
        <w:rPr>
          <w:rFonts w:ascii="宋体" w:hAnsi="宋体" w:cs="宋体"/>
          <w:color w:val="auto"/>
          <w:highlight w:val="none"/>
        </w:rPr>
      </w:pPr>
    </w:p>
    <w:p w14:paraId="5A8C5FAE">
      <w:pPr>
        <w:rPr>
          <w:rFonts w:ascii="宋体" w:hAnsi="宋体" w:cs="宋体"/>
          <w:color w:val="auto"/>
          <w:highlight w:val="none"/>
        </w:rPr>
      </w:pPr>
    </w:p>
    <w:p w14:paraId="640D4914">
      <w:pPr>
        <w:pStyle w:val="65"/>
        <w:rPr>
          <w:rFonts w:ascii="宋体" w:hAnsi="宋体" w:eastAsia="宋体" w:cs="宋体"/>
          <w:color w:val="auto"/>
          <w:highlight w:val="none"/>
        </w:rPr>
      </w:pPr>
    </w:p>
    <w:p w14:paraId="42258335">
      <w:pPr>
        <w:jc w:val="center"/>
        <w:rPr>
          <w:rFonts w:ascii="宋体" w:hAnsi="宋体" w:cs="宋体"/>
          <w:color w:val="auto"/>
          <w:sz w:val="144"/>
          <w:szCs w:val="144"/>
          <w:highlight w:val="none"/>
        </w:rPr>
      </w:pPr>
      <w:r>
        <w:rPr>
          <w:rFonts w:hint="eastAsia" w:ascii="宋体" w:hAnsi="宋体" w:cs="宋体"/>
          <w:color w:val="auto"/>
          <w:sz w:val="144"/>
          <w:szCs w:val="144"/>
          <w:highlight w:val="none"/>
        </w:rPr>
        <w:t>投标文件</w:t>
      </w:r>
    </w:p>
    <w:p w14:paraId="7802CB51">
      <w:pPr>
        <w:jc w:val="center"/>
        <w:rPr>
          <w:rFonts w:ascii="宋体" w:hAnsi="宋体" w:cs="宋体"/>
          <w:color w:val="auto"/>
          <w:sz w:val="28"/>
          <w:szCs w:val="28"/>
          <w:highlight w:val="none"/>
        </w:rPr>
      </w:pPr>
    </w:p>
    <w:p w14:paraId="76E32AE1">
      <w:pPr>
        <w:jc w:val="center"/>
        <w:rPr>
          <w:rFonts w:ascii="宋体" w:hAnsi="宋体" w:cs="宋体"/>
          <w:color w:val="auto"/>
          <w:sz w:val="28"/>
          <w:szCs w:val="28"/>
          <w:highlight w:val="none"/>
        </w:rPr>
      </w:pPr>
      <w:r>
        <w:rPr>
          <w:rFonts w:hint="eastAsia" w:ascii="宋体" w:hAnsi="宋体" w:cs="宋体"/>
          <w:color w:val="auto"/>
          <w:sz w:val="28"/>
          <w:szCs w:val="28"/>
          <w:highlight w:val="none"/>
        </w:rPr>
        <w:t>项目编号：</w:t>
      </w:r>
    </w:p>
    <w:p w14:paraId="7D1E7CCE">
      <w:pPr>
        <w:rPr>
          <w:rFonts w:ascii="宋体" w:hAnsi="宋体" w:cs="宋体"/>
          <w:color w:val="auto"/>
          <w:sz w:val="28"/>
          <w:szCs w:val="28"/>
          <w:highlight w:val="none"/>
        </w:rPr>
      </w:pPr>
    </w:p>
    <w:p w14:paraId="499EB447">
      <w:pPr>
        <w:rPr>
          <w:rFonts w:ascii="宋体" w:hAnsi="宋体" w:cs="宋体"/>
          <w:color w:val="auto"/>
          <w:sz w:val="28"/>
          <w:szCs w:val="28"/>
          <w:highlight w:val="none"/>
        </w:rPr>
      </w:pPr>
    </w:p>
    <w:p w14:paraId="06E879A2">
      <w:pPr>
        <w:rPr>
          <w:rFonts w:ascii="宋体" w:hAnsi="宋体" w:cs="宋体"/>
          <w:color w:val="auto"/>
          <w:sz w:val="28"/>
          <w:szCs w:val="28"/>
          <w:highlight w:val="none"/>
        </w:rPr>
      </w:pPr>
    </w:p>
    <w:p w14:paraId="29A62EC1">
      <w:pPr>
        <w:rPr>
          <w:rFonts w:ascii="宋体" w:hAnsi="宋体" w:cs="宋体"/>
          <w:color w:val="auto"/>
          <w:sz w:val="28"/>
          <w:szCs w:val="28"/>
          <w:highlight w:val="none"/>
        </w:rPr>
      </w:pPr>
    </w:p>
    <w:p w14:paraId="4CDFD476">
      <w:pPr>
        <w:rPr>
          <w:rFonts w:ascii="宋体" w:hAnsi="宋体" w:cs="宋体"/>
          <w:color w:val="auto"/>
          <w:sz w:val="28"/>
          <w:szCs w:val="28"/>
          <w:highlight w:val="none"/>
        </w:rPr>
      </w:pPr>
    </w:p>
    <w:p w14:paraId="61C280D7">
      <w:pPr>
        <w:rPr>
          <w:rFonts w:ascii="宋体" w:hAnsi="宋体" w:cs="宋体"/>
          <w:color w:val="auto"/>
          <w:sz w:val="28"/>
          <w:szCs w:val="28"/>
          <w:highlight w:val="none"/>
        </w:rPr>
      </w:pPr>
    </w:p>
    <w:p w14:paraId="0B965F5B">
      <w:pPr>
        <w:rPr>
          <w:rFonts w:ascii="宋体" w:hAnsi="宋体" w:cs="宋体"/>
          <w:color w:val="auto"/>
          <w:sz w:val="28"/>
          <w:szCs w:val="28"/>
          <w:highlight w:val="none"/>
        </w:rPr>
      </w:pPr>
    </w:p>
    <w:p w14:paraId="658E3DDD">
      <w:pPr>
        <w:rPr>
          <w:rFonts w:ascii="宋体" w:hAnsi="宋体" w:cs="宋体"/>
          <w:color w:val="auto"/>
          <w:sz w:val="28"/>
          <w:szCs w:val="28"/>
          <w:highlight w:val="none"/>
        </w:rPr>
      </w:pPr>
    </w:p>
    <w:p w14:paraId="6E390A3F">
      <w:pPr>
        <w:rPr>
          <w:rFonts w:ascii="宋体" w:hAnsi="宋体" w:cs="宋体"/>
          <w:color w:val="auto"/>
          <w:sz w:val="28"/>
          <w:szCs w:val="28"/>
          <w:highlight w:val="none"/>
        </w:rPr>
      </w:pPr>
    </w:p>
    <w:p w14:paraId="6B0E1715">
      <w:pPr>
        <w:rPr>
          <w:rFonts w:ascii="宋体" w:hAnsi="宋体" w:cs="宋体"/>
          <w:color w:val="auto"/>
          <w:sz w:val="28"/>
          <w:szCs w:val="28"/>
          <w:highlight w:val="none"/>
        </w:rPr>
      </w:pPr>
    </w:p>
    <w:p w14:paraId="2E6779CA">
      <w:pPr>
        <w:spacing w:line="360" w:lineRule="auto"/>
        <w:rPr>
          <w:rFonts w:ascii="宋体" w:hAnsi="宋体" w:cs="宋体"/>
          <w:color w:val="auto"/>
          <w:sz w:val="28"/>
          <w:szCs w:val="28"/>
          <w:highlight w:val="none"/>
        </w:rPr>
      </w:pPr>
    </w:p>
    <w:p w14:paraId="5ACA5ADE">
      <w:pPr>
        <w:spacing w:line="480" w:lineRule="auto"/>
        <w:ind w:firstLine="1120" w:firstLineChars="400"/>
        <w:jc w:val="both"/>
        <w:rPr>
          <w:rFonts w:ascii="宋体" w:hAnsi="宋体" w:cs="宋体"/>
          <w:color w:val="auto"/>
          <w:sz w:val="28"/>
          <w:szCs w:val="28"/>
          <w:highlight w:val="none"/>
          <w:u w:val="single"/>
        </w:rPr>
      </w:pPr>
      <w:r>
        <w:rPr>
          <w:rFonts w:hint="eastAsia" w:ascii="宋体" w:hAnsi="宋体" w:cs="宋体"/>
          <w:color w:val="auto"/>
          <w:sz w:val="28"/>
          <w:szCs w:val="28"/>
          <w:highlight w:val="none"/>
        </w:rPr>
        <w:t>供应商名称：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69A1261E">
      <w:pPr>
        <w:spacing w:line="480" w:lineRule="auto"/>
        <w:ind w:firstLine="1120" w:firstLineChars="400"/>
        <w:jc w:val="both"/>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14:paraId="00B4A050">
      <w:pPr>
        <w:spacing w:line="480" w:lineRule="auto"/>
        <w:ind w:firstLine="1120" w:firstLineChars="400"/>
        <w:jc w:val="both"/>
        <w:rPr>
          <w:rFonts w:ascii="宋体" w:hAnsi="宋体" w:cs="宋体"/>
          <w:color w:val="auto"/>
          <w:sz w:val="28"/>
          <w:szCs w:val="28"/>
          <w:highlight w:val="none"/>
        </w:rPr>
      </w:pPr>
      <w:r>
        <w:rPr>
          <w:rFonts w:hint="eastAsia" w:ascii="宋体" w:hAnsi="宋体" w:cs="宋体"/>
          <w:color w:val="auto"/>
          <w:sz w:val="28"/>
          <w:szCs w:val="28"/>
          <w:highlight w:val="none"/>
        </w:rPr>
        <w:t>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298CA373">
      <w:pPr>
        <w:spacing w:line="360" w:lineRule="auto"/>
        <w:rPr>
          <w:rFonts w:ascii="宋体" w:hAnsi="宋体" w:cs="宋体"/>
          <w:color w:val="auto"/>
          <w:sz w:val="32"/>
          <w:highlight w:val="none"/>
        </w:rPr>
      </w:pPr>
      <w:r>
        <w:rPr>
          <w:rFonts w:hint="eastAsia" w:ascii="宋体" w:hAnsi="宋体" w:cs="宋体"/>
          <w:color w:val="auto"/>
          <w:sz w:val="32"/>
          <w:highlight w:val="none"/>
        </w:rPr>
        <w:br w:type="page"/>
      </w:r>
    </w:p>
    <w:bookmarkEnd w:id="67"/>
    <w:p w14:paraId="3BA81F52">
      <w:pPr>
        <w:spacing w:line="360" w:lineRule="auto"/>
        <w:jc w:val="center"/>
        <w:rPr>
          <w:rFonts w:ascii="宋体" w:hAnsi="宋体" w:cs="宋体"/>
          <w:b/>
          <w:color w:val="auto"/>
          <w:sz w:val="36"/>
          <w:szCs w:val="36"/>
          <w:highlight w:val="none"/>
        </w:rPr>
      </w:pPr>
    </w:p>
    <w:p w14:paraId="18A04309">
      <w:pPr>
        <w:spacing w:line="360" w:lineRule="auto"/>
        <w:jc w:val="center"/>
        <w:rPr>
          <w:rFonts w:ascii="宋体" w:hAnsi="宋体" w:cs="宋体"/>
          <w:color w:val="auto"/>
          <w:sz w:val="36"/>
          <w:szCs w:val="36"/>
          <w:highlight w:val="none"/>
        </w:rPr>
      </w:pPr>
      <w:r>
        <w:rPr>
          <w:rFonts w:hint="eastAsia" w:ascii="宋体" w:hAnsi="宋体" w:cs="宋体"/>
          <w:b/>
          <w:color w:val="auto"/>
          <w:sz w:val="36"/>
          <w:szCs w:val="36"/>
          <w:highlight w:val="none"/>
        </w:rPr>
        <w:t>目  录</w:t>
      </w:r>
    </w:p>
    <w:p w14:paraId="249DCDDB">
      <w:pPr>
        <w:spacing w:line="360" w:lineRule="auto"/>
        <w:ind w:firstLine="480" w:firstLineChars="200"/>
        <w:jc w:val="both"/>
        <w:rPr>
          <w:rFonts w:ascii="宋体" w:hAnsi="宋体" w:cs="宋体"/>
          <w:color w:val="auto"/>
          <w:sz w:val="24"/>
          <w:highlight w:val="none"/>
        </w:rPr>
      </w:pPr>
    </w:p>
    <w:p w14:paraId="082C9C30">
      <w:pPr>
        <w:pStyle w:val="96"/>
        <w:numPr>
          <w:ilvl w:val="0"/>
          <w:numId w:val="3"/>
        </w:numPr>
        <w:tabs>
          <w:tab w:val="left" w:pos="567"/>
        </w:tabs>
        <w:spacing w:line="288"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开标一览表</w:t>
      </w:r>
    </w:p>
    <w:p w14:paraId="7C411E0A">
      <w:pPr>
        <w:pStyle w:val="96"/>
        <w:numPr>
          <w:ilvl w:val="0"/>
          <w:numId w:val="3"/>
        </w:numPr>
        <w:tabs>
          <w:tab w:val="left" w:pos="567"/>
        </w:tabs>
        <w:spacing w:line="288" w:lineRule="auto"/>
        <w:ind w:left="0" w:firstLine="476" w:firstLineChars="17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投标明细报价表</w:t>
      </w:r>
    </w:p>
    <w:p w14:paraId="7CAE9AD9">
      <w:pPr>
        <w:pStyle w:val="138"/>
        <w:numPr>
          <w:ilvl w:val="0"/>
          <w:numId w:val="3"/>
        </w:numPr>
        <w:tabs>
          <w:tab w:val="left" w:pos="567"/>
        </w:tabs>
        <w:spacing w:line="288" w:lineRule="auto"/>
        <w:ind w:left="0"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投标函</w:t>
      </w:r>
    </w:p>
    <w:p w14:paraId="0A4F2CA0">
      <w:pPr>
        <w:pStyle w:val="138"/>
        <w:numPr>
          <w:ilvl w:val="0"/>
          <w:numId w:val="3"/>
        </w:numPr>
        <w:tabs>
          <w:tab w:val="left" w:pos="567"/>
        </w:tabs>
        <w:spacing w:line="288" w:lineRule="auto"/>
        <w:ind w:left="0"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法定代表人身份证明书</w:t>
      </w:r>
    </w:p>
    <w:p w14:paraId="4B8EF00C">
      <w:pPr>
        <w:pStyle w:val="138"/>
        <w:numPr>
          <w:ilvl w:val="0"/>
          <w:numId w:val="3"/>
        </w:numPr>
        <w:tabs>
          <w:tab w:val="left" w:pos="567"/>
        </w:tabs>
        <w:spacing w:line="288" w:lineRule="auto"/>
        <w:ind w:left="0"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法定代表人授权委托书</w:t>
      </w:r>
    </w:p>
    <w:p w14:paraId="6AB0726B">
      <w:pPr>
        <w:pStyle w:val="138"/>
        <w:numPr>
          <w:ilvl w:val="0"/>
          <w:numId w:val="3"/>
        </w:numPr>
        <w:tabs>
          <w:tab w:val="left" w:pos="567"/>
        </w:tabs>
        <w:spacing w:line="288" w:lineRule="auto"/>
        <w:ind w:left="0"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供应商基本情况说明</w:t>
      </w:r>
    </w:p>
    <w:p w14:paraId="4BBFD4AA">
      <w:pPr>
        <w:pStyle w:val="138"/>
        <w:numPr>
          <w:ilvl w:val="0"/>
          <w:numId w:val="3"/>
        </w:numPr>
        <w:tabs>
          <w:tab w:val="left" w:pos="567"/>
        </w:tabs>
        <w:spacing w:line="288" w:lineRule="auto"/>
        <w:ind w:left="0"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lang w:val="en-US" w:eastAsia="zh-CN"/>
        </w:rPr>
        <w:t>信誉</w:t>
      </w:r>
      <w:r>
        <w:rPr>
          <w:rFonts w:hint="eastAsia" w:ascii="宋体" w:eastAsia="宋体" w:cs="宋体"/>
          <w:color w:val="auto"/>
          <w:sz w:val="24"/>
          <w:szCs w:val="24"/>
          <w:highlight w:val="none"/>
        </w:rPr>
        <w:t>承诺书</w:t>
      </w:r>
    </w:p>
    <w:p w14:paraId="19834065">
      <w:pPr>
        <w:pStyle w:val="138"/>
        <w:numPr>
          <w:ilvl w:val="0"/>
          <w:numId w:val="3"/>
        </w:numPr>
        <w:tabs>
          <w:tab w:val="left" w:pos="567"/>
        </w:tabs>
        <w:spacing w:line="288" w:lineRule="auto"/>
        <w:ind w:left="0"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商务偏离表</w:t>
      </w:r>
    </w:p>
    <w:p w14:paraId="31101B0C">
      <w:pPr>
        <w:pStyle w:val="138"/>
        <w:numPr>
          <w:ilvl w:val="0"/>
          <w:numId w:val="3"/>
        </w:numPr>
        <w:tabs>
          <w:tab w:val="left" w:pos="567"/>
        </w:tabs>
        <w:spacing w:line="288" w:lineRule="auto"/>
        <w:ind w:left="0"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近三年企业业绩表</w:t>
      </w:r>
    </w:p>
    <w:p w14:paraId="408A6AB8">
      <w:pPr>
        <w:pStyle w:val="138"/>
        <w:numPr>
          <w:ilvl w:val="0"/>
          <w:numId w:val="3"/>
        </w:numPr>
        <w:tabs>
          <w:tab w:val="left" w:pos="567"/>
        </w:tabs>
        <w:spacing w:line="288" w:lineRule="auto"/>
        <w:ind w:left="0"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资格声明</w:t>
      </w:r>
    </w:p>
    <w:p w14:paraId="2225E01C">
      <w:pPr>
        <w:pStyle w:val="96"/>
        <w:numPr>
          <w:ilvl w:val="0"/>
          <w:numId w:val="3"/>
        </w:numPr>
        <w:tabs>
          <w:tab w:val="left" w:pos="567"/>
        </w:tabs>
        <w:spacing w:line="288"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服务需求</w:t>
      </w:r>
      <w:r>
        <w:rPr>
          <w:rFonts w:hint="eastAsia" w:ascii="宋体" w:hAnsi="宋体" w:cs="宋体"/>
          <w:color w:val="auto"/>
          <w:sz w:val="24"/>
          <w:szCs w:val="24"/>
          <w:highlight w:val="none"/>
        </w:rPr>
        <w:t>偏离表</w:t>
      </w:r>
    </w:p>
    <w:p w14:paraId="606625EA">
      <w:pPr>
        <w:pStyle w:val="96"/>
        <w:numPr>
          <w:ilvl w:val="0"/>
          <w:numId w:val="3"/>
        </w:numPr>
        <w:tabs>
          <w:tab w:val="left" w:pos="567"/>
        </w:tabs>
        <w:spacing w:line="288"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服务需求</w:t>
      </w:r>
      <w:r>
        <w:rPr>
          <w:rFonts w:hint="eastAsia" w:ascii="宋体" w:hAnsi="宋体" w:cs="宋体"/>
          <w:color w:val="auto"/>
          <w:sz w:val="24"/>
          <w:szCs w:val="24"/>
          <w:highlight w:val="none"/>
        </w:rPr>
        <w:t>承诺书</w:t>
      </w:r>
    </w:p>
    <w:p w14:paraId="1793602F">
      <w:pPr>
        <w:pStyle w:val="96"/>
        <w:numPr>
          <w:ilvl w:val="0"/>
          <w:numId w:val="3"/>
        </w:numPr>
        <w:tabs>
          <w:tab w:val="left" w:pos="567"/>
        </w:tabs>
        <w:spacing w:line="288"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售后服务</w:t>
      </w:r>
    </w:p>
    <w:p w14:paraId="5C8ACFF9">
      <w:pPr>
        <w:pStyle w:val="96"/>
        <w:numPr>
          <w:ilvl w:val="0"/>
          <w:numId w:val="3"/>
        </w:numPr>
        <w:tabs>
          <w:tab w:val="left" w:pos="567"/>
        </w:tabs>
        <w:spacing w:line="288"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具备履行合同所必需设备和专业技术能力承诺书</w:t>
      </w:r>
    </w:p>
    <w:p w14:paraId="00F66DF8">
      <w:pPr>
        <w:pStyle w:val="96"/>
        <w:numPr>
          <w:ilvl w:val="0"/>
          <w:numId w:val="3"/>
        </w:numPr>
        <w:tabs>
          <w:tab w:val="left" w:pos="567"/>
        </w:tabs>
        <w:spacing w:line="288" w:lineRule="auto"/>
        <w:ind w:left="0" w:firstLine="480"/>
        <w:rPr>
          <w:rFonts w:ascii="宋体" w:hAnsi="宋体" w:cs="宋体"/>
          <w:color w:val="auto"/>
          <w:sz w:val="24"/>
          <w:szCs w:val="24"/>
          <w:highlight w:val="none"/>
        </w:rPr>
      </w:pPr>
      <w:r>
        <w:rPr>
          <w:rFonts w:hint="eastAsia" w:ascii="宋体" w:hAnsi="宋体" w:cs="宋体"/>
          <w:bCs/>
          <w:color w:val="auto"/>
          <w:sz w:val="24"/>
          <w:szCs w:val="24"/>
          <w:highlight w:val="none"/>
          <w:lang w:val="en-US" w:eastAsia="zh-CN"/>
        </w:rPr>
        <w:t>技术方案</w:t>
      </w:r>
    </w:p>
    <w:p w14:paraId="25FD0CBC">
      <w:pPr>
        <w:pStyle w:val="96"/>
        <w:numPr>
          <w:ilvl w:val="0"/>
          <w:numId w:val="3"/>
        </w:numPr>
        <w:tabs>
          <w:tab w:val="left" w:pos="567"/>
        </w:tabs>
        <w:spacing w:line="288"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供应商认为有必要提供的其他材料</w:t>
      </w:r>
    </w:p>
    <w:p w14:paraId="678B37C6">
      <w:pPr>
        <w:spacing w:line="360" w:lineRule="auto"/>
        <w:rPr>
          <w:rFonts w:ascii="宋体" w:hAnsi="宋体" w:cs="宋体"/>
          <w:color w:val="auto"/>
          <w:szCs w:val="21"/>
          <w:highlight w:val="none"/>
        </w:rPr>
      </w:pPr>
    </w:p>
    <w:p w14:paraId="046060A9">
      <w:pPr>
        <w:rPr>
          <w:rFonts w:ascii="宋体" w:hAnsi="宋体" w:cs="宋体"/>
          <w:b/>
          <w:color w:val="auto"/>
          <w:sz w:val="28"/>
          <w:szCs w:val="28"/>
          <w:highlight w:val="none"/>
          <w:lang w:val="zh-CN"/>
        </w:rPr>
      </w:pPr>
      <w:r>
        <w:rPr>
          <w:rFonts w:hint="eastAsia" w:ascii="宋体" w:hAnsi="宋体" w:cs="宋体"/>
          <w:b/>
          <w:color w:val="auto"/>
          <w:sz w:val="28"/>
          <w:szCs w:val="28"/>
          <w:highlight w:val="none"/>
          <w:lang w:val="zh-CN"/>
        </w:rPr>
        <w:br w:type="page"/>
      </w:r>
    </w:p>
    <w:p w14:paraId="2EE237FA">
      <w:pPr>
        <w:spacing w:line="360" w:lineRule="auto"/>
        <w:jc w:val="center"/>
        <w:rPr>
          <w:rFonts w:ascii="宋体" w:hAnsi="宋体" w:cs="宋体"/>
          <w:b/>
          <w:color w:val="auto"/>
          <w:sz w:val="36"/>
          <w:szCs w:val="36"/>
          <w:highlight w:val="none"/>
          <w:lang w:val="zh-CN"/>
        </w:rPr>
      </w:pPr>
      <w:r>
        <w:rPr>
          <w:rFonts w:hint="eastAsia" w:ascii="宋体" w:hAnsi="宋体" w:cs="宋体"/>
          <w:b/>
          <w:color w:val="auto"/>
          <w:sz w:val="36"/>
          <w:szCs w:val="36"/>
          <w:highlight w:val="none"/>
          <w:lang w:val="zh-CN"/>
        </w:rPr>
        <w:t>一、</w:t>
      </w:r>
      <w:r>
        <w:rPr>
          <w:rFonts w:hint="eastAsia" w:ascii="宋体" w:hAnsi="宋体" w:cs="宋体"/>
          <w:b/>
          <w:color w:val="auto"/>
          <w:sz w:val="36"/>
          <w:szCs w:val="36"/>
          <w:highlight w:val="none"/>
        </w:rPr>
        <w:t>开 标 一 览 表</w:t>
      </w:r>
    </w:p>
    <w:p w14:paraId="2CFD7A02">
      <w:pPr>
        <w:rPr>
          <w:rFonts w:ascii="宋体" w:hAnsi="宋体" w:cs="宋体"/>
          <w:color w:val="auto"/>
          <w:szCs w:val="21"/>
          <w:highlight w:val="none"/>
        </w:rPr>
      </w:pPr>
    </w:p>
    <w:p w14:paraId="184B5816">
      <w:pPr>
        <w:ind w:left="152" w:leftChars="-109" w:hanging="370" w:hangingChars="185"/>
        <w:rPr>
          <w:rFonts w:ascii="宋体" w:hAnsi="宋体" w:cs="宋体"/>
          <w:color w:val="auto"/>
          <w:szCs w:val="21"/>
          <w:highlight w:val="none"/>
        </w:rPr>
      </w:pPr>
    </w:p>
    <w:p w14:paraId="0A239ED6">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项目编号：                                                开标时间：</w:t>
      </w:r>
    </w:p>
    <w:tbl>
      <w:tblPr>
        <w:tblStyle w:val="43"/>
        <w:tblW w:w="8956" w:type="dxa"/>
        <w:tblInd w:w="80" w:type="dxa"/>
        <w:tblLayout w:type="fixed"/>
        <w:tblCellMar>
          <w:top w:w="0" w:type="dxa"/>
          <w:left w:w="108" w:type="dxa"/>
          <w:bottom w:w="0" w:type="dxa"/>
          <w:right w:w="108" w:type="dxa"/>
        </w:tblCellMar>
      </w:tblPr>
      <w:tblGrid>
        <w:gridCol w:w="1854"/>
        <w:gridCol w:w="2346"/>
        <w:gridCol w:w="1825"/>
        <w:gridCol w:w="1825"/>
        <w:gridCol w:w="1106"/>
      </w:tblGrid>
      <w:tr w14:paraId="58B4188C">
        <w:tblPrEx>
          <w:tblCellMar>
            <w:top w:w="0" w:type="dxa"/>
            <w:left w:w="108" w:type="dxa"/>
            <w:bottom w:w="0" w:type="dxa"/>
            <w:right w:w="108" w:type="dxa"/>
          </w:tblCellMar>
        </w:tblPrEx>
        <w:trPr>
          <w:trHeight w:val="946" w:hRule="atLeast"/>
        </w:trPr>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14:paraId="18825498">
            <w:pPr>
              <w:spacing w:line="288"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2346" w:type="dxa"/>
            <w:tcBorders>
              <w:top w:val="single" w:color="auto" w:sz="4" w:space="0"/>
              <w:left w:val="single" w:color="auto" w:sz="4" w:space="0"/>
              <w:bottom w:val="single" w:color="auto" w:sz="4" w:space="0"/>
              <w:right w:val="single" w:color="auto" w:sz="4" w:space="0"/>
            </w:tcBorders>
            <w:shd w:val="clear" w:color="auto" w:fill="auto"/>
            <w:vAlign w:val="center"/>
          </w:tcPr>
          <w:p w14:paraId="0A0ED5D6">
            <w:pPr>
              <w:spacing w:line="288"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1825" w:type="dxa"/>
            <w:tcBorders>
              <w:top w:val="single" w:color="auto" w:sz="4" w:space="0"/>
              <w:left w:val="nil"/>
              <w:bottom w:val="single" w:color="auto" w:sz="4" w:space="0"/>
              <w:right w:val="single" w:color="auto" w:sz="4" w:space="0"/>
            </w:tcBorders>
            <w:shd w:val="clear" w:color="auto" w:fill="auto"/>
            <w:vAlign w:val="center"/>
          </w:tcPr>
          <w:p w14:paraId="4C995295">
            <w:pPr>
              <w:spacing w:line="288"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投标保证金</w:t>
            </w:r>
          </w:p>
        </w:tc>
        <w:tc>
          <w:tcPr>
            <w:tcW w:w="1825" w:type="dxa"/>
            <w:tcBorders>
              <w:top w:val="single" w:color="auto" w:sz="4" w:space="0"/>
              <w:left w:val="nil"/>
              <w:bottom w:val="single" w:color="auto" w:sz="4" w:space="0"/>
              <w:right w:val="single" w:color="auto" w:sz="4" w:space="0"/>
            </w:tcBorders>
            <w:shd w:val="clear" w:color="auto" w:fill="auto"/>
            <w:vAlign w:val="center"/>
          </w:tcPr>
          <w:p w14:paraId="5F62D0D6">
            <w:pPr>
              <w:spacing w:line="288"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供货时间</w:t>
            </w:r>
          </w:p>
        </w:tc>
        <w:tc>
          <w:tcPr>
            <w:tcW w:w="1106" w:type="dxa"/>
            <w:tcBorders>
              <w:top w:val="single" w:color="auto" w:sz="4" w:space="0"/>
              <w:left w:val="nil"/>
              <w:bottom w:val="single" w:color="auto" w:sz="4" w:space="0"/>
              <w:right w:val="single" w:color="auto" w:sz="4" w:space="0"/>
            </w:tcBorders>
            <w:shd w:val="clear" w:color="auto" w:fill="auto"/>
            <w:vAlign w:val="center"/>
          </w:tcPr>
          <w:p w14:paraId="34D5E823">
            <w:pPr>
              <w:spacing w:line="288"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5ACD93E3">
        <w:tblPrEx>
          <w:tblCellMar>
            <w:top w:w="0" w:type="dxa"/>
            <w:left w:w="108" w:type="dxa"/>
            <w:bottom w:w="0" w:type="dxa"/>
            <w:right w:w="108" w:type="dxa"/>
          </w:tblCellMar>
        </w:tblPrEx>
        <w:trPr>
          <w:trHeight w:val="1302" w:hRule="atLeast"/>
        </w:trPr>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14:paraId="4B3AEAFA">
            <w:pPr>
              <w:spacing w:line="288" w:lineRule="auto"/>
              <w:jc w:val="center"/>
              <w:rPr>
                <w:rFonts w:ascii="宋体" w:hAnsi="宋体" w:cs="宋体"/>
                <w:color w:val="auto"/>
                <w:sz w:val="24"/>
                <w:szCs w:val="24"/>
                <w:highlight w:val="none"/>
              </w:rPr>
            </w:pPr>
          </w:p>
        </w:tc>
        <w:tc>
          <w:tcPr>
            <w:tcW w:w="2346" w:type="dxa"/>
            <w:tcBorders>
              <w:top w:val="single" w:color="auto" w:sz="4" w:space="0"/>
              <w:left w:val="single" w:color="auto" w:sz="4" w:space="0"/>
              <w:bottom w:val="single" w:color="auto" w:sz="4" w:space="0"/>
              <w:right w:val="single" w:color="auto" w:sz="4" w:space="0"/>
            </w:tcBorders>
            <w:shd w:val="clear" w:color="auto" w:fill="auto"/>
            <w:vAlign w:val="center"/>
          </w:tcPr>
          <w:p w14:paraId="04B43774">
            <w:pPr>
              <w:spacing w:line="288" w:lineRule="auto"/>
              <w:jc w:val="center"/>
              <w:rPr>
                <w:rFonts w:ascii="宋体" w:hAnsi="宋体" w:cs="宋体"/>
                <w:color w:val="auto"/>
                <w:sz w:val="24"/>
                <w:szCs w:val="24"/>
                <w:highlight w:val="none"/>
              </w:rPr>
            </w:pPr>
          </w:p>
        </w:tc>
        <w:tc>
          <w:tcPr>
            <w:tcW w:w="1825" w:type="dxa"/>
            <w:tcBorders>
              <w:top w:val="single" w:color="auto" w:sz="4" w:space="0"/>
              <w:left w:val="nil"/>
              <w:bottom w:val="single" w:color="auto" w:sz="4" w:space="0"/>
              <w:right w:val="single" w:color="auto" w:sz="4" w:space="0"/>
            </w:tcBorders>
            <w:shd w:val="clear" w:color="auto" w:fill="auto"/>
            <w:noWrap/>
            <w:vAlign w:val="center"/>
          </w:tcPr>
          <w:p w14:paraId="6A0D95AB">
            <w:pPr>
              <w:spacing w:line="288" w:lineRule="auto"/>
              <w:jc w:val="center"/>
              <w:rPr>
                <w:rFonts w:ascii="宋体" w:hAnsi="宋体" w:cs="宋体"/>
                <w:color w:val="auto"/>
                <w:sz w:val="24"/>
                <w:szCs w:val="24"/>
                <w:highlight w:val="none"/>
              </w:rPr>
            </w:pPr>
          </w:p>
        </w:tc>
        <w:tc>
          <w:tcPr>
            <w:tcW w:w="1825" w:type="dxa"/>
            <w:tcBorders>
              <w:top w:val="single" w:color="auto" w:sz="4" w:space="0"/>
              <w:left w:val="nil"/>
              <w:bottom w:val="single" w:color="auto" w:sz="4" w:space="0"/>
              <w:right w:val="single" w:color="auto" w:sz="4" w:space="0"/>
            </w:tcBorders>
            <w:shd w:val="clear" w:color="auto" w:fill="auto"/>
            <w:noWrap/>
            <w:vAlign w:val="center"/>
          </w:tcPr>
          <w:p w14:paraId="596D2E1D">
            <w:pPr>
              <w:spacing w:line="288" w:lineRule="auto"/>
              <w:jc w:val="center"/>
              <w:rPr>
                <w:rFonts w:ascii="宋体" w:hAnsi="宋体" w:cs="宋体"/>
                <w:color w:val="auto"/>
                <w:sz w:val="24"/>
                <w:szCs w:val="24"/>
                <w:highlight w:val="none"/>
              </w:rPr>
            </w:pPr>
          </w:p>
        </w:tc>
        <w:tc>
          <w:tcPr>
            <w:tcW w:w="1106" w:type="dxa"/>
            <w:tcBorders>
              <w:top w:val="single" w:color="auto" w:sz="4" w:space="0"/>
              <w:left w:val="nil"/>
              <w:bottom w:val="single" w:color="auto" w:sz="4" w:space="0"/>
              <w:right w:val="single" w:color="auto" w:sz="4" w:space="0"/>
            </w:tcBorders>
            <w:shd w:val="clear" w:color="auto" w:fill="auto"/>
            <w:vAlign w:val="center"/>
          </w:tcPr>
          <w:p w14:paraId="46EAED38">
            <w:pPr>
              <w:spacing w:line="288" w:lineRule="auto"/>
              <w:jc w:val="center"/>
              <w:rPr>
                <w:rFonts w:ascii="宋体" w:hAnsi="宋体" w:cs="宋体"/>
                <w:color w:val="auto"/>
                <w:sz w:val="24"/>
                <w:szCs w:val="24"/>
                <w:highlight w:val="none"/>
              </w:rPr>
            </w:pPr>
          </w:p>
        </w:tc>
      </w:tr>
    </w:tbl>
    <w:p w14:paraId="40BE51FF">
      <w:pPr>
        <w:spacing w:line="288"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注：1、投标报价</w:t>
      </w:r>
      <w:r>
        <w:rPr>
          <w:rFonts w:hint="eastAsia" w:ascii="宋体" w:hAnsi="宋体" w:cs="宋体"/>
          <w:b/>
          <w:color w:val="auto"/>
          <w:sz w:val="24"/>
          <w:szCs w:val="24"/>
          <w:highlight w:val="none"/>
        </w:rPr>
        <w:t>不超过</w:t>
      </w:r>
      <w:r>
        <w:rPr>
          <w:rFonts w:hint="eastAsia" w:ascii="宋体" w:hAnsi="宋体" w:cs="宋体"/>
          <w:b/>
          <w:color w:val="auto"/>
          <w:sz w:val="24"/>
          <w:szCs w:val="24"/>
          <w:highlight w:val="none"/>
          <w:lang w:val="en-US" w:eastAsia="zh-CN"/>
        </w:rPr>
        <w:t>最高投标限价</w:t>
      </w:r>
      <w:r>
        <w:rPr>
          <w:rFonts w:hint="eastAsia" w:ascii="宋体" w:hAnsi="宋体" w:cs="宋体"/>
          <w:b/>
          <w:color w:val="auto"/>
          <w:sz w:val="24"/>
          <w:szCs w:val="24"/>
          <w:highlight w:val="none"/>
        </w:rPr>
        <w:t>，超过为无效报价。</w:t>
      </w:r>
      <w:r>
        <w:rPr>
          <w:rFonts w:hint="eastAsia" w:ascii="宋体" w:hAnsi="宋体" w:cs="宋体"/>
          <w:b/>
          <w:bCs/>
          <w:color w:val="auto"/>
          <w:sz w:val="24"/>
          <w:szCs w:val="24"/>
          <w:highlight w:val="none"/>
        </w:rPr>
        <w:t>本表中填写的投标报价应与投标函中填写的投标报价相一致，如果不一致以本表为准；</w:t>
      </w:r>
    </w:p>
    <w:p w14:paraId="31E8CC24">
      <w:pPr>
        <w:spacing w:line="288" w:lineRule="auto"/>
        <w:ind w:firstLine="408"/>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、投标报价保留至小数点后四位。</w:t>
      </w:r>
    </w:p>
    <w:p w14:paraId="414ADF28">
      <w:pPr>
        <w:pStyle w:val="65"/>
        <w:spacing w:line="288" w:lineRule="auto"/>
        <w:rPr>
          <w:rFonts w:ascii="宋体" w:hAnsi="宋体" w:eastAsia="宋体" w:cs="宋体"/>
          <w:color w:val="auto"/>
          <w:sz w:val="24"/>
          <w:szCs w:val="24"/>
          <w:highlight w:val="none"/>
        </w:rPr>
      </w:pPr>
    </w:p>
    <w:p w14:paraId="56314F55">
      <w:pPr>
        <w:spacing w:line="288" w:lineRule="auto"/>
        <w:ind w:firstLine="472" w:firstLineChars="196"/>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14:paraId="50E44FB0">
      <w:pPr>
        <w:spacing w:line="288" w:lineRule="auto"/>
        <w:rPr>
          <w:rFonts w:ascii="宋体" w:hAnsi="宋体" w:cs="宋体"/>
          <w:b/>
          <w:bCs/>
          <w:color w:val="auto"/>
          <w:sz w:val="24"/>
          <w:szCs w:val="24"/>
          <w:highlight w:val="none"/>
        </w:rPr>
      </w:pPr>
    </w:p>
    <w:p w14:paraId="4C4EDC23">
      <w:pPr>
        <w:spacing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供应商名称：            （公章）                    </w:t>
      </w:r>
    </w:p>
    <w:p w14:paraId="5AB27967">
      <w:pPr>
        <w:spacing w:line="288" w:lineRule="auto"/>
        <w:ind w:firstLine="480" w:firstLineChars="200"/>
        <w:rPr>
          <w:rFonts w:ascii="宋体" w:hAnsi="宋体" w:cs="宋体"/>
          <w:color w:val="auto"/>
          <w:sz w:val="24"/>
          <w:szCs w:val="24"/>
          <w:highlight w:val="none"/>
        </w:rPr>
      </w:pPr>
    </w:p>
    <w:p w14:paraId="6E5249FF">
      <w:pPr>
        <w:spacing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            （签字或盖章）</w:t>
      </w:r>
    </w:p>
    <w:p w14:paraId="3EBC149B">
      <w:pPr>
        <w:spacing w:line="288" w:lineRule="auto"/>
        <w:ind w:firstLine="480" w:firstLineChars="200"/>
        <w:rPr>
          <w:rFonts w:ascii="宋体" w:hAnsi="宋体" w:cs="宋体"/>
          <w:color w:val="auto"/>
          <w:sz w:val="24"/>
          <w:szCs w:val="24"/>
          <w:highlight w:val="none"/>
        </w:rPr>
      </w:pPr>
    </w:p>
    <w:p w14:paraId="6A231B0A">
      <w:pPr>
        <w:spacing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委托代理人：            （签字）  </w:t>
      </w:r>
    </w:p>
    <w:p w14:paraId="2D97EB68">
      <w:pPr>
        <w:spacing w:line="288" w:lineRule="auto"/>
        <w:ind w:firstLine="4560" w:firstLineChars="1900"/>
        <w:rPr>
          <w:rFonts w:ascii="宋体" w:hAnsi="宋体" w:cs="宋体"/>
          <w:color w:val="auto"/>
          <w:sz w:val="24"/>
          <w:szCs w:val="24"/>
          <w:highlight w:val="none"/>
        </w:rPr>
      </w:pPr>
    </w:p>
    <w:p w14:paraId="365DDD98">
      <w:pPr>
        <w:spacing w:line="288" w:lineRule="auto"/>
        <w:ind w:firstLine="6480" w:firstLineChars="2700"/>
        <w:jc w:val="left"/>
        <w:rPr>
          <w:rFonts w:ascii="宋体" w:hAnsi="宋体" w:cs="宋体"/>
          <w:color w:val="auto"/>
          <w:sz w:val="21"/>
          <w:szCs w:val="21"/>
          <w:highlight w:val="none"/>
        </w:rPr>
      </w:pPr>
      <w:r>
        <w:rPr>
          <w:rFonts w:hint="eastAsia" w:ascii="宋体" w:hAnsi="宋体" w:cs="宋体"/>
          <w:color w:val="auto"/>
          <w:sz w:val="24"/>
          <w:szCs w:val="24"/>
          <w:highlight w:val="none"/>
        </w:rPr>
        <w:t>日　　期：</w:t>
      </w:r>
    </w:p>
    <w:p w14:paraId="2F85B9BF">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1A27EFFA">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二、投标明细报价表</w:t>
      </w:r>
    </w:p>
    <w:tbl>
      <w:tblPr>
        <w:tblStyle w:val="43"/>
        <w:tblW w:w="10635" w:type="dxa"/>
        <w:jc w:val="center"/>
        <w:tblLayout w:type="fixed"/>
        <w:tblCellMar>
          <w:top w:w="0" w:type="dxa"/>
          <w:left w:w="108" w:type="dxa"/>
          <w:bottom w:w="0" w:type="dxa"/>
          <w:right w:w="108" w:type="dxa"/>
        </w:tblCellMar>
      </w:tblPr>
      <w:tblGrid>
        <w:gridCol w:w="636"/>
        <w:gridCol w:w="1344"/>
        <w:gridCol w:w="1855"/>
        <w:gridCol w:w="1217"/>
        <w:gridCol w:w="1185"/>
        <w:gridCol w:w="1628"/>
        <w:gridCol w:w="1517"/>
        <w:gridCol w:w="1253"/>
      </w:tblGrid>
      <w:tr w14:paraId="168E2CD8">
        <w:tblPrEx>
          <w:tblCellMar>
            <w:top w:w="0" w:type="dxa"/>
            <w:left w:w="108" w:type="dxa"/>
            <w:bottom w:w="0" w:type="dxa"/>
            <w:right w:w="108" w:type="dxa"/>
          </w:tblCellMar>
        </w:tblPrEx>
        <w:trPr>
          <w:trHeight w:val="973" w:hRule="atLeast"/>
          <w:jc w:val="center"/>
        </w:trPr>
        <w:tc>
          <w:tcPr>
            <w:tcW w:w="636" w:type="dxa"/>
            <w:tcBorders>
              <w:top w:val="single" w:color="auto" w:sz="6" w:space="0"/>
              <w:left w:val="single" w:color="auto" w:sz="6" w:space="0"/>
              <w:bottom w:val="single" w:color="auto" w:sz="6" w:space="0"/>
              <w:right w:val="single" w:color="auto" w:sz="6" w:space="0"/>
            </w:tcBorders>
            <w:noWrap w:val="0"/>
            <w:vAlign w:val="center"/>
          </w:tcPr>
          <w:p w14:paraId="1675222F">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1344" w:type="dxa"/>
            <w:tcBorders>
              <w:top w:val="single" w:color="auto" w:sz="6" w:space="0"/>
              <w:left w:val="single" w:color="auto" w:sz="6" w:space="0"/>
              <w:bottom w:val="single" w:color="auto" w:sz="6" w:space="0"/>
              <w:right w:val="single" w:color="auto" w:sz="6" w:space="0"/>
            </w:tcBorders>
            <w:noWrap w:val="0"/>
            <w:vAlign w:val="center"/>
          </w:tcPr>
          <w:p w14:paraId="6D81E6BC">
            <w:pPr>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eastAsia="zh-CN"/>
              </w:rPr>
              <w:t>设备名称</w:t>
            </w:r>
          </w:p>
        </w:tc>
        <w:tc>
          <w:tcPr>
            <w:tcW w:w="1855" w:type="dxa"/>
            <w:tcBorders>
              <w:top w:val="single" w:color="auto" w:sz="6" w:space="0"/>
              <w:left w:val="single" w:color="auto" w:sz="6" w:space="0"/>
              <w:bottom w:val="single" w:color="auto" w:sz="6" w:space="0"/>
              <w:right w:val="single" w:color="auto" w:sz="6" w:space="0"/>
            </w:tcBorders>
            <w:noWrap w:val="0"/>
            <w:vAlign w:val="center"/>
          </w:tcPr>
          <w:p w14:paraId="4B97ABAD">
            <w:pPr>
              <w:jc w:val="center"/>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投标设备参数</w:t>
            </w:r>
          </w:p>
        </w:tc>
        <w:tc>
          <w:tcPr>
            <w:tcW w:w="1217" w:type="dxa"/>
            <w:tcBorders>
              <w:top w:val="single" w:color="auto" w:sz="6" w:space="0"/>
              <w:left w:val="single" w:color="auto" w:sz="6" w:space="0"/>
              <w:bottom w:val="single" w:color="auto" w:sz="6" w:space="0"/>
              <w:right w:val="single" w:color="auto" w:sz="6" w:space="0"/>
            </w:tcBorders>
            <w:noWrap w:val="0"/>
            <w:vAlign w:val="center"/>
          </w:tcPr>
          <w:p w14:paraId="0D7449F6">
            <w:pPr>
              <w:jc w:val="center"/>
              <w:outlineLvl w:val="9"/>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品牌</w:t>
            </w:r>
          </w:p>
        </w:tc>
        <w:tc>
          <w:tcPr>
            <w:tcW w:w="1185" w:type="dxa"/>
            <w:tcBorders>
              <w:top w:val="single" w:color="auto" w:sz="6" w:space="0"/>
              <w:left w:val="single" w:color="auto" w:sz="6" w:space="0"/>
              <w:bottom w:val="single" w:color="auto" w:sz="6" w:space="0"/>
              <w:right w:val="single" w:color="auto" w:sz="6" w:space="0"/>
            </w:tcBorders>
            <w:noWrap w:val="0"/>
            <w:vAlign w:val="center"/>
          </w:tcPr>
          <w:p w14:paraId="0306045F">
            <w:pPr>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数量</w:t>
            </w:r>
          </w:p>
        </w:tc>
        <w:tc>
          <w:tcPr>
            <w:tcW w:w="1628" w:type="dxa"/>
            <w:tcBorders>
              <w:top w:val="single" w:color="auto" w:sz="6" w:space="0"/>
              <w:left w:val="single" w:color="auto" w:sz="6" w:space="0"/>
              <w:bottom w:val="single" w:color="auto" w:sz="6" w:space="0"/>
              <w:right w:val="single" w:color="auto" w:sz="6" w:space="0"/>
            </w:tcBorders>
            <w:noWrap w:val="0"/>
            <w:vAlign w:val="center"/>
          </w:tcPr>
          <w:p w14:paraId="3DCE5C47">
            <w:pPr>
              <w:jc w:val="center"/>
              <w:outlineLvl w:val="9"/>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rPr>
              <w:t>数量</w:t>
            </w:r>
            <w:r>
              <w:rPr>
                <w:rFonts w:hint="eastAsia" w:ascii="宋体" w:hAnsi="宋体" w:eastAsia="宋体" w:cs="宋体"/>
                <w:b/>
                <w:bCs/>
                <w:color w:val="auto"/>
                <w:sz w:val="24"/>
                <w:szCs w:val="24"/>
                <w:highlight w:val="none"/>
                <w:lang w:val="zh-CN" w:eastAsia="zh-CN"/>
              </w:rPr>
              <w:t>单位</w:t>
            </w:r>
          </w:p>
        </w:tc>
        <w:tc>
          <w:tcPr>
            <w:tcW w:w="1517" w:type="dxa"/>
            <w:tcBorders>
              <w:top w:val="single" w:color="auto" w:sz="6" w:space="0"/>
              <w:left w:val="single" w:color="auto" w:sz="6" w:space="0"/>
              <w:bottom w:val="single" w:color="auto" w:sz="6" w:space="0"/>
              <w:right w:val="single" w:color="auto" w:sz="6" w:space="0"/>
            </w:tcBorders>
            <w:noWrap w:val="0"/>
            <w:vAlign w:val="center"/>
          </w:tcPr>
          <w:p w14:paraId="203AD41F">
            <w:pPr>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单价（元）</w:t>
            </w:r>
          </w:p>
        </w:tc>
        <w:tc>
          <w:tcPr>
            <w:tcW w:w="1253" w:type="dxa"/>
            <w:tcBorders>
              <w:top w:val="single" w:color="auto" w:sz="6" w:space="0"/>
              <w:left w:val="single" w:color="auto" w:sz="6" w:space="0"/>
              <w:bottom w:val="single" w:color="auto" w:sz="6" w:space="0"/>
              <w:right w:val="single" w:color="auto" w:sz="6" w:space="0"/>
            </w:tcBorders>
            <w:noWrap w:val="0"/>
            <w:vAlign w:val="center"/>
          </w:tcPr>
          <w:p w14:paraId="04AC7847">
            <w:pPr>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合计（元）</w:t>
            </w:r>
          </w:p>
        </w:tc>
      </w:tr>
      <w:tr w14:paraId="61E14435">
        <w:tblPrEx>
          <w:tblCellMar>
            <w:top w:w="0" w:type="dxa"/>
            <w:left w:w="108" w:type="dxa"/>
            <w:bottom w:w="0" w:type="dxa"/>
            <w:right w:w="108" w:type="dxa"/>
          </w:tblCellMar>
        </w:tblPrEx>
        <w:trPr>
          <w:trHeight w:val="713" w:hRule="atLeast"/>
          <w:jc w:val="center"/>
        </w:trPr>
        <w:tc>
          <w:tcPr>
            <w:tcW w:w="636" w:type="dxa"/>
            <w:tcBorders>
              <w:top w:val="single" w:color="auto" w:sz="6" w:space="0"/>
              <w:left w:val="single" w:color="auto" w:sz="6" w:space="0"/>
              <w:bottom w:val="single" w:color="auto" w:sz="6" w:space="0"/>
              <w:right w:val="single" w:color="auto" w:sz="6" w:space="0"/>
            </w:tcBorders>
            <w:noWrap w:val="0"/>
            <w:vAlign w:val="top"/>
          </w:tcPr>
          <w:p w14:paraId="29DB285D">
            <w:pPr>
              <w:outlineLvl w:val="9"/>
              <w:rPr>
                <w:rFonts w:hint="eastAsia" w:ascii="宋体" w:hAnsi="宋体" w:eastAsia="宋体" w:cs="宋体"/>
                <w:b/>
                <w:bCs/>
                <w:color w:val="auto"/>
                <w:sz w:val="24"/>
                <w:szCs w:val="24"/>
                <w:highlight w:val="none"/>
                <w:lang w:val="zh-CN"/>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4A4C00FA">
            <w:pPr>
              <w:outlineLvl w:val="9"/>
              <w:rPr>
                <w:rFonts w:hint="eastAsia" w:ascii="宋体" w:hAnsi="宋体" w:eastAsia="宋体" w:cs="宋体"/>
                <w:b/>
                <w:bCs/>
                <w:color w:val="auto"/>
                <w:sz w:val="24"/>
                <w:szCs w:val="24"/>
                <w:highlight w:val="none"/>
                <w:lang w:val="zh-CN"/>
              </w:rPr>
            </w:pPr>
          </w:p>
        </w:tc>
        <w:tc>
          <w:tcPr>
            <w:tcW w:w="1855" w:type="dxa"/>
            <w:tcBorders>
              <w:top w:val="single" w:color="auto" w:sz="6" w:space="0"/>
              <w:left w:val="single" w:color="auto" w:sz="6" w:space="0"/>
              <w:bottom w:val="single" w:color="auto" w:sz="6" w:space="0"/>
              <w:right w:val="single" w:color="auto" w:sz="6" w:space="0"/>
            </w:tcBorders>
            <w:noWrap w:val="0"/>
            <w:vAlign w:val="top"/>
          </w:tcPr>
          <w:p w14:paraId="7CD34B10">
            <w:pPr>
              <w:outlineLvl w:val="9"/>
              <w:rPr>
                <w:rFonts w:hint="eastAsia" w:ascii="宋体" w:hAnsi="宋体" w:eastAsia="宋体" w:cs="宋体"/>
                <w:b/>
                <w:bCs/>
                <w:color w:val="auto"/>
                <w:sz w:val="24"/>
                <w:szCs w:val="24"/>
                <w:highlight w:val="none"/>
                <w:lang w:val="zh-CN"/>
              </w:rPr>
            </w:pPr>
          </w:p>
        </w:tc>
        <w:tc>
          <w:tcPr>
            <w:tcW w:w="1217" w:type="dxa"/>
            <w:tcBorders>
              <w:top w:val="single" w:color="auto" w:sz="6" w:space="0"/>
              <w:left w:val="single" w:color="auto" w:sz="6" w:space="0"/>
              <w:bottom w:val="single" w:color="auto" w:sz="6" w:space="0"/>
              <w:right w:val="single" w:color="auto" w:sz="6" w:space="0"/>
            </w:tcBorders>
            <w:noWrap w:val="0"/>
            <w:vAlign w:val="top"/>
          </w:tcPr>
          <w:p w14:paraId="53A36C31">
            <w:pPr>
              <w:outlineLvl w:val="9"/>
              <w:rPr>
                <w:rFonts w:hint="eastAsia" w:ascii="宋体" w:hAnsi="宋体" w:eastAsia="宋体" w:cs="宋体"/>
                <w:b/>
                <w:bCs/>
                <w:color w:val="auto"/>
                <w:sz w:val="24"/>
                <w:szCs w:val="24"/>
                <w:highlight w:val="none"/>
                <w:lang w:val="zh-CN"/>
              </w:rPr>
            </w:pPr>
          </w:p>
        </w:tc>
        <w:tc>
          <w:tcPr>
            <w:tcW w:w="1185" w:type="dxa"/>
            <w:tcBorders>
              <w:top w:val="single" w:color="auto" w:sz="6" w:space="0"/>
              <w:left w:val="single" w:color="auto" w:sz="6" w:space="0"/>
              <w:bottom w:val="single" w:color="auto" w:sz="6" w:space="0"/>
              <w:right w:val="single" w:color="auto" w:sz="6" w:space="0"/>
            </w:tcBorders>
            <w:noWrap w:val="0"/>
            <w:vAlign w:val="top"/>
          </w:tcPr>
          <w:p w14:paraId="7A33DBE0">
            <w:pPr>
              <w:outlineLvl w:val="9"/>
              <w:rPr>
                <w:rFonts w:hint="eastAsia" w:ascii="宋体" w:hAnsi="宋体" w:eastAsia="宋体" w:cs="宋体"/>
                <w:b/>
                <w:bCs/>
                <w:color w:val="auto"/>
                <w:sz w:val="24"/>
                <w:szCs w:val="24"/>
                <w:highlight w:val="none"/>
                <w:lang w:val="zh-CN"/>
              </w:rPr>
            </w:pPr>
          </w:p>
        </w:tc>
        <w:tc>
          <w:tcPr>
            <w:tcW w:w="1628" w:type="dxa"/>
            <w:tcBorders>
              <w:top w:val="single" w:color="auto" w:sz="6" w:space="0"/>
              <w:left w:val="single" w:color="auto" w:sz="6" w:space="0"/>
              <w:bottom w:val="single" w:color="auto" w:sz="6" w:space="0"/>
              <w:right w:val="single" w:color="auto" w:sz="6" w:space="0"/>
            </w:tcBorders>
            <w:noWrap w:val="0"/>
            <w:vAlign w:val="top"/>
          </w:tcPr>
          <w:p w14:paraId="0D337B09">
            <w:pPr>
              <w:outlineLvl w:val="9"/>
              <w:rPr>
                <w:rFonts w:hint="eastAsia" w:ascii="宋体" w:hAnsi="宋体" w:eastAsia="宋体" w:cs="宋体"/>
                <w:b/>
                <w:bCs/>
                <w:color w:val="auto"/>
                <w:sz w:val="24"/>
                <w:szCs w:val="24"/>
                <w:highlight w:val="none"/>
                <w:lang w:val="zh-CN"/>
              </w:rPr>
            </w:pPr>
          </w:p>
        </w:tc>
        <w:tc>
          <w:tcPr>
            <w:tcW w:w="1517" w:type="dxa"/>
            <w:tcBorders>
              <w:top w:val="single" w:color="auto" w:sz="6" w:space="0"/>
              <w:left w:val="single" w:color="auto" w:sz="6" w:space="0"/>
              <w:bottom w:val="single" w:color="auto" w:sz="6" w:space="0"/>
              <w:right w:val="single" w:color="auto" w:sz="6" w:space="0"/>
            </w:tcBorders>
            <w:noWrap w:val="0"/>
            <w:vAlign w:val="top"/>
          </w:tcPr>
          <w:p w14:paraId="6AF61B3F">
            <w:pPr>
              <w:outlineLvl w:val="9"/>
              <w:rPr>
                <w:rFonts w:hint="eastAsia" w:ascii="宋体" w:hAnsi="宋体" w:eastAsia="宋体" w:cs="宋体"/>
                <w:b/>
                <w:bCs/>
                <w:color w:val="auto"/>
                <w:sz w:val="24"/>
                <w:szCs w:val="24"/>
                <w:highlight w:val="none"/>
                <w:lang w:val="zh-CN"/>
              </w:rPr>
            </w:pPr>
          </w:p>
        </w:tc>
        <w:tc>
          <w:tcPr>
            <w:tcW w:w="1253" w:type="dxa"/>
            <w:tcBorders>
              <w:top w:val="single" w:color="auto" w:sz="6" w:space="0"/>
              <w:left w:val="single" w:color="auto" w:sz="6" w:space="0"/>
              <w:bottom w:val="single" w:color="auto" w:sz="6" w:space="0"/>
              <w:right w:val="single" w:color="auto" w:sz="6" w:space="0"/>
            </w:tcBorders>
            <w:noWrap w:val="0"/>
            <w:vAlign w:val="top"/>
          </w:tcPr>
          <w:p w14:paraId="6E82DF97">
            <w:pPr>
              <w:outlineLvl w:val="9"/>
              <w:rPr>
                <w:rFonts w:hint="eastAsia" w:ascii="宋体" w:hAnsi="宋体" w:eastAsia="宋体" w:cs="宋体"/>
                <w:b/>
                <w:bCs/>
                <w:color w:val="auto"/>
                <w:sz w:val="24"/>
                <w:szCs w:val="24"/>
                <w:highlight w:val="none"/>
                <w:lang w:val="zh-CN"/>
              </w:rPr>
            </w:pPr>
          </w:p>
        </w:tc>
      </w:tr>
      <w:tr w14:paraId="4217D30F">
        <w:tblPrEx>
          <w:tblCellMar>
            <w:top w:w="0" w:type="dxa"/>
            <w:left w:w="108" w:type="dxa"/>
            <w:bottom w:w="0" w:type="dxa"/>
            <w:right w:w="108" w:type="dxa"/>
          </w:tblCellMar>
        </w:tblPrEx>
        <w:trPr>
          <w:trHeight w:val="689" w:hRule="atLeast"/>
          <w:jc w:val="center"/>
        </w:trPr>
        <w:tc>
          <w:tcPr>
            <w:tcW w:w="636" w:type="dxa"/>
            <w:tcBorders>
              <w:top w:val="single" w:color="auto" w:sz="6" w:space="0"/>
              <w:left w:val="single" w:color="auto" w:sz="6" w:space="0"/>
              <w:bottom w:val="single" w:color="auto" w:sz="6" w:space="0"/>
              <w:right w:val="single" w:color="auto" w:sz="6" w:space="0"/>
            </w:tcBorders>
            <w:noWrap w:val="0"/>
            <w:vAlign w:val="top"/>
          </w:tcPr>
          <w:p w14:paraId="40CEE238">
            <w:pPr>
              <w:outlineLvl w:val="9"/>
              <w:rPr>
                <w:rFonts w:hint="eastAsia" w:ascii="宋体" w:hAnsi="宋体" w:eastAsia="宋体" w:cs="宋体"/>
                <w:b/>
                <w:bCs/>
                <w:color w:val="auto"/>
                <w:sz w:val="24"/>
                <w:szCs w:val="24"/>
                <w:highlight w:val="none"/>
                <w:lang w:val="zh-CN"/>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230B7CE1">
            <w:pPr>
              <w:outlineLvl w:val="9"/>
              <w:rPr>
                <w:rFonts w:hint="eastAsia" w:ascii="宋体" w:hAnsi="宋体" w:eastAsia="宋体" w:cs="宋体"/>
                <w:b/>
                <w:bCs/>
                <w:color w:val="auto"/>
                <w:sz w:val="24"/>
                <w:szCs w:val="24"/>
                <w:highlight w:val="none"/>
                <w:lang w:val="zh-CN"/>
              </w:rPr>
            </w:pPr>
          </w:p>
        </w:tc>
        <w:tc>
          <w:tcPr>
            <w:tcW w:w="1855" w:type="dxa"/>
            <w:tcBorders>
              <w:top w:val="single" w:color="auto" w:sz="6" w:space="0"/>
              <w:left w:val="single" w:color="auto" w:sz="6" w:space="0"/>
              <w:bottom w:val="single" w:color="auto" w:sz="6" w:space="0"/>
              <w:right w:val="single" w:color="auto" w:sz="6" w:space="0"/>
            </w:tcBorders>
            <w:noWrap w:val="0"/>
            <w:vAlign w:val="top"/>
          </w:tcPr>
          <w:p w14:paraId="4F5736FD">
            <w:pPr>
              <w:outlineLvl w:val="9"/>
              <w:rPr>
                <w:rFonts w:hint="eastAsia" w:ascii="宋体" w:hAnsi="宋体" w:eastAsia="宋体" w:cs="宋体"/>
                <w:b/>
                <w:bCs/>
                <w:color w:val="auto"/>
                <w:sz w:val="24"/>
                <w:szCs w:val="24"/>
                <w:highlight w:val="none"/>
                <w:lang w:val="zh-CN"/>
              </w:rPr>
            </w:pPr>
          </w:p>
        </w:tc>
        <w:tc>
          <w:tcPr>
            <w:tcW w:w="1217" w:type="dxa"/>
            <w:tcBorders>
              <w:top w:val="single" w:color="auto" w:sz="6" w:space="0"/>
              <w:left w:val="single" w:color="auto" w:sz="6" w:space="0"/>
              <w:bottom w:val="single" w:color="auto" w:sz="6" w:space="0"/>
              <w:right w:val="single" w:color="auto" w:sz="6" w:space="0"/>
            </w:tcBorders>
            <w:noWrap w:val="0"/>
            <w:vAlign w:val="top"/>
          </w:tcPr>
          <w:p w14:paraId="4D778EDF">
            <w:pPr>
              <w:outlineLvl w:val="9"/>
              <w:rPr>
                <w:rFonts w:hint="eastAsia" w:ascii="宋体" w:hAnsi="宋体" w:eastAsia="宋体" w:cs="宋体"/>
                <w:b/>
                <w:bCs/>
                <w:color w:val="auto"/>
                <w:sz w:val="24"/>
                <w:szCs w:val="24"/>
                <w:highlight w:val="none"/>
                <w:lang w:val="zh-CN"/>
              </w:rPr>
            </w:pPr>
          </w:p>
        </w:tc>
        <w:tc>
          <w:tcPr>
            <w:tcW w:w="1185" w:type="dxa"/>
            <w:tcBorders>
              <w:top w:val="single" w:color="auto" w:sz="6" w:space="0"/>
              <w:left w:val="single" w:color="auto" w:sz="6" w:space="0"/>
              <w:bottom w:val="single" w:color="auto" w:sz="6" w:space="0"/>
              <w:right w:val="single" w:color="auto" w:sz="6" w:space="0"/>
            </w:tcBorders>
            <w:noWrap w:val="0"/>
            <w:vAlign w:val="top"/>
          </w:tcPr>
          <w:p w14:paraId="737FA4AA">
            <w:pPr>
              <w:jc w:val="center"/>
              <w:outlineLvl w:val="9"/>
              <w:rPr>
                <w:rFonts w:hint="eastAsia" w:ascii="宋体" w:hAnsi="宋体" w:eastAsia="宋体" w:cs="宋体"/>
                <w:b/>
                <w:bCs/>
                <w:color w:val="auto"/>
                <w:sz w:val="24"/>
                <w:szCs w:val="24"/>
                <w:highlight w:val="none"/>
                <w:lang w:val="zh-CN"/>
              </w:rPr>
            </w:pPr>
          </w:p>
        </w:tc>
        <w:tc>
          <w:tcPr>
            <w:tcW w:w="1628" w:type="dxa"/>
            <w:tcBorders>
              <w:top w:val="single" w:color="auto" w:sz="6" w:space="0"/>
              <w:left w:val="single" w:color="auto" w:sz="6" w:space="0"/>
              <w:bottom w:val="single" w:color="auto" w:sz="6" w:space="0"/>
              <w:right w:val="single" w:color="auto" w:sz="6" w:space="0"/>
            </w:tcBorders>
            <w:noWrap w:val="0"/>
            <w:vAlign w:val="top"/>
          </w:tcPr>
          <w:p w14:paraId="08606AA8">
            <w:pPr>
              <w:outlineLvl w:val="9"/>
              <w:rPr>
                <w:rFonts w:hint="eastAsia" w:ascii="宋体" w:hAnsi="宋体" w:eastAsia="宋体" w:cs="宋体"/>
                <w:b/>
                <w:bCs/>
                <w:color w:val="auto"/>
                <w:sz w:val="24"/>
                <w:szCs w:val="24"/>
                <w:highlight w:val="none"/>
                <w:lang w:val="zh-CN"/>
              </w:rPr>
            </w:pPr>
          </w:p>
        </w:tc>
        <w:tc>
          <w:tcPr>
            <w:tcW w:w="1517" w:type="dxa"/>
            <w:tcBorders>
              <w:top w:val="single" w:color="auto" w:sz="6" w:space="0"/>
              <w:left w:val="single" w:color="auto" w:sz="6" w:space="0"/>
              <w:bottom w:val="single" w:color="auto" w:sz="6" w:space="0"/>
              <w:right w:val="single" w:color="auto" w:sz="6" w:space="0"/>
            </w:tcBorders>
            <w:noWrap w:val="0"/>
            <w:vAlign w:val="top"/>
          </w:tcPr>
          <w:p w14:paraId="153D45BD">
            <w:pPr>
              <w:outlineLvl w:val="9"/>
              <w:rPr>
                <w:rFonts w:hint="eastAsia" w:ascii="宋体" w:hAnsi="宋体" w:eastAsia="宋体" w:cs="宋体"/>
                <w:b/>
                <w:bCs/>
                <w:color w:val="auto"/>
                <w:sz w:val="24"/>
                <w:szCs w:val="24"/>
                <w:highlight w:val="none"/>
                <w:lang w:val="zh-CN"/>
              </w:rPr>
            </w:pPr>
          </w:p>
        </w:tc>
        <w:tc>
          <w:tcPr>
            <w:tcW w:w="1253" w:type="dxa"/>
            <w:tcBorders>
              <w:top w:val="single" w:color="auto" w:sz="6" w:space="0"/>
              <w:left w:val="single" w:color="auto" w:sz="6" w:space="0"/>
              <w:bottom w:val="single" w:color="auto" w:sz="6" w:space="0"/>
              <w:right w:val="single" w:color="auto" w:sz="6" w:space="0"/>
            </w:tcBorders>
            <w:noWrap w:val="0"/>
            <w:vAlign w:val="top"/>
          </w:tcPr>
          <w:p w14:paraId="5FDDC8DF">
            <w:pPr>
              <w:outlineLvl w:val="9"/>
              <w:rPr>
                <w:rFonts w:hint="eastAsia" w:ascii="宋体" w:hAnsi="宋体" w:eastAsia="宋体" w:cs="宋体"/>
                <w:b/>
                <w:bCs/>
                <w:color w:val="auto"/>
                <w:sz w:val="24"/>
                <w:szCs w:val="24"/>
                <w:highlight w:val="none"/>
                <w:lang w:val="zh-CN"/>
              </w:rPr>
            </w:pPr>
          </w:p>
        </w:tc>
      </w:tr>
      <w:tr w14:paraId="5D56772C">
        <w:tblPrEx>
          <w:tblCellMar>
            <w:top w:w="0" w:type="dxa"/>
            <w:left w:w="108" w:type="dxa"/>
            <w:bottom w:w="0" w:type="dxa"/>
            <w:right w:w="108" w:type="dxa"/>
          </w:tblCellMar>
        </w:tblPrEx>
        <w:trPr>
          <w:trHeight w:val="777" w:hRule="atLeast"/>
          <w:jc w:val="center"/>
        </w:trPr>
        <w:tc>
          <w:tcPr>
            <w:tcW w:w="9382" w:type="dxa"/>
            <w:gridSpan w:val="7"/>
            <w:tcBorders>
              <w:top w:val="single" w:color="auto" w:sz="6" w:space="0"/>
              <w:left w:val="single" w:color="auto" w:sz="6" w:space="0"/>
              <w:bottom w:val="single" w:color="auto" w:sz="6" w:space="0"/>
              <w:right w:val="single" w:color="auto" w:sz="6" w:space="0"/>
            </w:tcBorders>
            <w:noWrap w:val="0"/>
            <w:vAlign w:val="top"/>
          </w:tcPr>
          <w:p w14:paraId="5C7CE8F6">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投标总价</w:t>
            </w:r>
          </w:p>
        </w:tc>
        <w:tc>
          <w:tcPr>
            <w:tcW w:w="1253" w:type="dxa"/>
            <w:tcBorders>
              <w:top w:val="single" w:color="auto" w:sz="6" w:space="0"/>
              <w:left w:val="single" w:color="auto" w:sz="6" w:space="0"/>
              <w:bottom w:val="single" w:color="auto" w:sz="6" w:space="0"/>
              <w:right w:val="single" w:color="auto" w:sz="6" w:space="0"/>
            </w:tcBorders>
            <w:noWrap w:val="0"/>
            <w:vAlign w:val="top"/>
          </w:tcPr>
          <w:p w14:paraId="6B56E21A">
            <w:pPr>
              <w:outlineLvl w:val="9"/>
              <w:rPr>
                <w:rFonts w:hint="eastAsia" w:ascii="宋体" w:hAnsi="宋体" w:eastAsia="宋体" w:cs="宋体"/>
                <w:b/>
                <w:bCs/>
                <w:color w:val="auto"/>
                <w:sz w:val="24"/>
                <w:szCs w:val="24"/>
                <w:highlight w:val="none"/>
                <w:lang w:val="zh-CN"/>
              </w:rPr>
            </w:pPr>
          </w:p>
        </w:tc>
      </w:tr>
    </w:tbl>
    <w:p w14:paraId="6F2B27D3">
      <w:pPr>
        <w:spacing w:before="240" w:beforeLines="100" w:line="288" w:lineRule="auto"/>
        <w:rPr>
          <w:rFonts w:ascii="宋体" w:hAnsi="宋体" w:cs="宋体"/>
          <w:color w:val="auto"/>
          <w:sz w:val="24"/>
          <w:szCs w:val="24"/>
          <w:highlight w:val="none"/>
        </w:rPr>
      </w:pPr>
      <w:r>
        <w:rPr>
          <w:rFonts w:hint="eastAsia" w:ascii="宋体" w:hAnsi="宋体" w:cs="宋体"/>
          <w:color w:val="auto"/>
          <w:sz w:val="24"/>
          <w:szCs w:val="24"/>
          <w:highlight w:val="none"/>
        </w:rPr>
        <w:t>注明：</w:t>
      </w:r>
    </w:p>
    <w:p w14:paraId="21BFABBC">
      <w:pPr>
        <w:pStyle w:val="96"/>
        <w:numPr>
          <w:ilvl w:val="0"/>
          <w:numId w:val="4"/>
        </w:numPr>
        <w:spacing w:line="288"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此表为报价总表的明细表。</w:t>
      </w:r>
    </w:p>
    <w:p w14:paraId="09699C6D">
      <w:pPr>
        <w:pStyle w:val="96"/>
        <w:numPr>
          <w:ilvl w:val="0"/>
          <w:numId w:val="4"/>
        </w:numPr>
        <w:spacing w:line="288"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如果单价和总价不符时，以单价为准，修正总价。</w:t>
      </w:r>
    </w:p>
    <w:p w14:paraId="05AD473C">
      <w:pPr>
        <w:pStyle w:val="96"/>
        <w:numPr>
          <w:ilvl w:val="0"/>
          <w:numId w:val="4"/>
        </w:numPr>
        <w:spacing w:line="288"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供应商应列明按“采购需求”所要求提供的所有报价项的价格明细。</w:t>
      </w:r>
    </w:p>
    <w:p w14:paraId="4621C79F">
      <w:pPr>
        <w:spacing w:line="288" w:lineRule="auto"/>
        <w:rPr>
          <w:rFonts w:ascii="宋体" w:hAnsi="宋体" w:cs="宋体"/>
          <w:color w:val="auto"/>
          <w:sz w:val="24"/>
          <w:szCs w:val="24"/>
          <w:highlight w:val="none"/>
        </w:rPr>
      </w:pPr>
    </w:p>
    <w:tbl>
      <w:tblPr>
        <w:tblStyle w:val="43"/>
        <w:tblW w:w="9345" w:type="dxa"/>
        <w:tblInd w:w="0" w:type="dxa"/>
        <w:tblLayout w:type="fixed"/>
        <w:tblCellMar>
          <w:top w:w="0" w:type="dxa"/>
          <w:left w:w="108" w:type="dxa"/>
          <w:bottom w:w="0" w:type="dxa"/>
          <w:right w:w="108" w:type="dxa"/>
        </w:tblCellMar>
      </w:tblPr>
      <w:tblGrid>
        <w:gridCol w:w="5353"/>
        <w:gridCol w:w="3992"/>
      </w:tblGrid>
      <w:tr w14:paraId="06F8BC93">
        <w:tblPrEx>
          <w:tblCellMar>
            <w:top w:w="0" w:type="dxa"/>
            <w:left w:w="108" w:type="dxa"/>
            <w:bottom w:w="0" w:type="dxa"/>
            <w:right w:w="108" w:type="dxa"/>
          </w:tblCellMar>
        </w:tblPrEx>
        <w:tc>
          <w:tcPr>
            <w:tcW w:w="5353" w:type="dxa"/>
            <w:shd w:val="clear" w:color="auto" w:fill="auto"/>
          </w:tcPr>
          <w:p w14:paraId="7A59DA8A">
            <w:pPr>
              <w:overflowPunct w:val="0"/>
              <w:adjustRightInd w:val="0"/>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c>
          <w:tcPr>
            <w:tcW w:w="3992" w:type="dxa"/>
            <w:shd w:val="clear" w:color="auto" w:fill="auto"/>
          </w:tcPr>
          <w:p w14:paraId="771AB897">
            <w:pPr>
              <w:spacing w:line="288" w:lineRule="auto"/>
              <w:rPr>
                <w:rFonts w:ascii="宋体" w:hAnsi="宋体" w:cs="宋体"/>
                <w:color w:val="auto"/>
                <w:sz w:val="24"/>
                <w:szCs w:val="24"/>
                <w:highlight w:val="none"/>
              </w:rPr>
            </w:pPr>
          </w:p>
        </w:tc>
      </w:tr>
      <w:tr w14:paraId="61B83FA7">
        <w:tblPrEx>
          <w:tblCellMar>
            <w:top w:w="0" w:type="dxa"/>
            <w:left w:w="108" w:type="dxa"/>
            <w:bottom w:w="0" w:type="dxa"/>
            <w:right w:w="108" w:type="dxa"/>
          </w:tblCellMar>
        </w:tblPrEx>
        <w:tc>
          <w:tcPr>
            <w:tcW w:w="5353" w:type="dxa"/>
            <w:shd w:val="clear" w:color="auto" w:fill="auto"/>
          </w:tcPr>
          <w:p w14:paraId="104426F2">
            <w:pPr>
              <w:spacing w:line="288" w:lineRule="auto"/>
              <w:rPr>
                <w:rFonts w:ascii="宋体" w:hAnsi="宋体" w:cs="宋体"/>
                <w:color w:val="auto"/>
                <w:sz w:val="24"/>
                <w:szCs w:val="24"/>
                <w:highlight w:val="none"/>
              </w:rPr>
            </w:pPr>
          </w:p>
          <w:p w14:paraId="1AE1AABD">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tc>
        <w:tc>
          <w:tcPr>
            <w:tcW w:w="3992" w:type="dxa"/>
            <w:shd w:val="clear" w:color="auto" w:fill="auto"/>
          </w:tcPr>
          <w:p w14:paraId="2EAD9F64">
            <w:pPr>
              <w:spacing w:line="288" w:lineRule="auto"/>
              <w:rPr>
                <w:rFonts w:ascii="宋体" w:hAnsi="宋体" w:cs="宋体"/>
                <w:color w:val="auto"/>
                <w:sz w:val="24"/>
                <w:szCs w:val="24"/>
                <w:highlight w:val="none"/>
              </w:rPr>
            </w:pPr>
          </w:p>
        </w:tc>
      </w:tr>
    </w:tbl>
    <w:p w14:paraId="740B87C3">
      <w:pPr>
        <w:autoSpaceDE w:val="0"/>
        <w:autoSpaceDN w:val="0"/>
        <w:adjustRightInd w:val="0"/>
        <w:spacing w:before="120" w:beforeLines="50" w:after="120" w:afterLines="50" w:line="288" w:lineRule="auto"/>
        <w:jc w:val="center"/>
        <w:rPr>
          <w:rFonts w:ascii="宋体" w:hAnsi="宋体" w:cs="宋体"/>
          <w:b/>
          <w:color w:val="auto"/>
          <w:sz w:val="24"/>
          <w:szCs w:val="24"/>
          <w:highlight w:val="none"/>
        </w:rPr>
      </w:pPr>
    </w:p>
    <w:p w14:paraId="0E54EE7A">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6606B7FA">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三、投标函</w:t>
      </w:r>
    </w:p>
    <w:p w14:paraId="74853352">
      <w:pPr>
        <w:spacing w:before="120" w:beforeLines="50" w:after="120" w:afterLines="50"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致：</w:t>
      </w:r>
      <w:r>
        <w:rPr>
          <w:rFonts w:hint="eastAsia" w:ascii="宋体" w:hAnsi="宋体" w:cs="宋体"/>
          <w:b/>
          <w:color w:val="auto"/>
          <w:sz w:val="24"/>
          <w:szCs w:val="24"/>
          <w:highlight w:val="none"/>
          <w:u w:val="single"/>
        </w:rPr>
        <w:t>(采购代理机构名称)</w:t>
      </w:r>
    </w:p>
    <w:p w14:paraId="3B6EC4F7">
      <w:pPr>
        <w:autoSpaceDE w:val="0"/>
        <w:autoSpaceDN w:val="0"/>
        <w:adjustRightInd w:val="0"/>
        <w:spacing w:line="288" w:lineRule="auto"/>
        <w:ind w:right="26"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依据贵方</w:t>
      </w:r>
      <w:r>
        <w:rPr>
          <w:rFonts w:hint="eastAsia" w:ascii="宋体" w:hAnsi="宋体" w:cs="宋体"/>
          <w:b/>
          <w:bCs/>
          <w:color w:val="auto"/>
          <w:sz w:val="24"/>
          <w:szCs w:val="24"/>
          <w:highlight w:val="none"/>
          <w:u w:val="single"/>
        </w:rPr>
        <w:t xml:space="preserve">项目名称    </w:t>
      </w:r>
      <w:r>
        <w:rPr>
          <w:rFonts w:hint="eastAsia" w:ascii="宋体" w:hAnsi="宋体" w:cs="宋体"/>
          <w:bCs/>
          <w:color w:val="auto"/>
          <w:sz w:val="24"/>
          <w:szCs w:val="24"/>
          <w:highlight w:val="none"/>
          <w:u w:val="single"/>
        </w:rPr>
        <w:t>（</w:t>
      </w:r>
      <w:r>
        <w:rPr>
          <w:rFonts w:hint="eastAsia" w:ascii="宋体" w:hAnsi="宋体" w:cs="宋体"/>
          <w:b/>
          <w:bCs/>
          <w:color w:val="auto"/>
          <w:sz w:val="24"/>
          <w:szCs w:val="24"/>
          <w:highlight w:val="none"/>
          <w:u w:val="single"/>
        </w:rPr>
        <w:t>项目编号：</w:t>
      </w:r>
      <w:r>
        <w:rPr>
          <w:rFonts w:hint="eastAsia" w:ascii="宋体" w:hAnsi="宋体" w:cs="宋体"/>
          <w:bCs/>
          <w:color w:val="auto"/>
          <w:sz w:val="24"/>
          <w:szCs w:val="24"/>
          <w:highlight w:val="none"/>
          <w:u w:val="single"/>
        </w:rPr>
        <w:t xml:space="preserve">        ) </w:t>
      </w:r>
      <w:r>
        <w:rPr>
          <w:rFonts w:hint="eastAsia" w:ascii="宋体" w:hAnsi="宋体" w:cs="宋体"/>
          <w:bCs/>
          <w:color w:val="auto"/>
          <w:sz w:val="24"/>
          <w:szCs w:val="24"/>
          <w:highlight w:val="none"/>
        </w:rPr>
        <w:t>招标货物及服务的投标，我方代表</w:t>
      </w:r>
      <w:r>
        <w:rPr>
          <w:rFonts w:hint="eastAsia" w:ascii="宋体" w:hAnsi="宋体" w:cs="宋体"/>
          <w:b/>
          <w:bCs/>
          <w:color w:val="auto"/>
          <w:sz w:val="24"/>
          <w:szCs w:val="24"/>
          <w:highlight w:val="none"/>
          <w:u w:val="single"/>
        </w:rPr>
        <w:t>（姓名、职务）</w:t>
      </w:r>
      <w:r>
        <w:rPr>
          <w:rFonts w:hint="eastAsia" w:ascii="宋体" w:hAnsi="宋体" w:cs="宋体"/>
          <w:bCs/>
          <w:color w:val="auto"/>
          <w:sz w:val="24"/>
          <w:szCs w:val="24"/>
          <w:highlight w:val="none"/>
        </w:rPr>
        <w:t>经正式授权并代表</w:t>
      </w:r>
      <w:r>
        <w:rPr>
          <w:rFonts w:hint="eastAsia" w:ascii="宋体" w:hAnsi="宋体" w:cs="宋体"/>
          <w:b/>
          <w:bCs/>
          <w:color w:val="auto"/>
          <w:sz w:val="24"/>
          <w:szCs w:val="24"/>
          <w:highlight w:val="none"/>
          <w:u w:val="single"/>
        </w:rPr>
        <w:t>（供应商名称）</w:t>
      </w:r>
      <w:r>
        <w:rPr>
          <w:rFonts w:hint="eastAsia" w:ascii="宋体" w:hAnsi="宋体" w:cs="宋体"/>
          <w:bCs/>
          <w:color w:val="auto"/>
          <w:sz w:val="24"/>
          <w:szCs w:val="24"/>
          <w:highlight w:val="none"/>
        </w:rPr>
        <w:t>提交</w:t>
      </w:r>
      <w:r>
        <w:rPr>
          <w:rFonts w:hint="eastAsia" w:ascii="宋体" w:hAnsi="宋体" w:cs="宋体"/>
          <w:bCs/>
          <w:color w:val="auto"/>
          <w:sz w:val="24"/>
          <w:szCs w:val="24"/>
          <w:highlight w:val="none"/>
          <w:lang w:val="en-US" w:eastAsia="zh-CN"/>
        </w:rPr>
        <w:t>该项目投标文件</w:t>
      </w:r>
      <w:r>
        <w:rPr>
          <w:rFonts w:hint="eastAsia" w:ascii="宋体" w:hAnsi="宋体" w:cs="宋体"/>
          <w:bCs/>
          <w:color w:val="auto"/>
          <w:sz w:val="24"/>
          <w:szCs w:val="24"/>
          <w:highlight w:val="none"/>
        </w:rPr>
        <w:t>。</w:t>
      </w:r>
    </w:p>
    <w:p w14:paraId="650305E4">
      <w:pPr>
        <w:autoSpaceDE w:val="0"/>
        <w:autoSpaceDN w:val="0"/>
        <w:adjustRightInd w:val="0"/>
        <w:spacing w:line="288" w:lineRule="auto"/>
        <w:ind w:right="246"/>
        <w:rPr>
          <w:rFonts w:ascii="宋体" w:hAnsi="宋体" w:cs="宋体"/>
          <w:color w:val="auto"/>
          <w:sz w:val="24"/>
          <w:szCs w:val="24"/>
          <w:highlight w:val="none"/>
        </w:rPr>
      </w:pPr>
      <w:r>
        <w:rPr>
          <w:rFonts w:hint="eastAsia" w:ascii="宋体" w:hAnsi="宋体" w:cs="宋体"/>
          <w:color w:val="auto"/>
          <w:sz w:val="24"/>
          <w:szCs w:val="24"/>
          <w:highlight w:val="none"/>
        </w:rPr>
        <w:t>在此，我方声明如下：</w:t>
      </w:r>
    </w:p>
    <w:p w14:paraId="7AC73EA8">
      <w:pPr>
        <w:pStyle w:val="96"/>
        <w:spacing w:line="288" w:lineRule="auto"/>
        <w:ind w:left="0" w:firstLine="0" w:firstLineChars="0"/>
        <w:rPr>
          <w:rFonts w:ascii="宋体" w:hAnsi="宋体" w:cs="宋体"/>
          <w:color w:val="auto"/>
          <w:sz w:val="24"/>
          <w:szCs w:val="24"/>
          <w:highlight w:val="none"/>
        </w:rPr>
      </w:pPr>
      <w:r>
        <w:rPr>
          <w:rFonts w:hint="eastAsia" w:ascii="宋体" w:hAnsi="宋体" w:cs="宋体"/>
          <w:color w:val="auto"/>
          <w:spacing w:val="-6"/>
          <w:sz w:val="24"/>
          <w:szCs w:val="24"/>
          <w:highlight w:val="none"/>
        </w:rPr>
        <w:t>1、同意并接受招标文件的各项要求，遵守招标文件中的各项规定，按招标文件的要求提供报价，投标报价为</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 xml:space="preserve"> 元人民币</w:t>
      </w:r>
      <w:r>
        <w:rPr>
          <w:rFonts w:hint="eastAsia" w:ascii="宋体" w:hAnsi="宋体" w:cs="宋体"/>
          <w:color w:val="auto"/>
          <w:sz w:val="24"/>
          <w:szCs w:val="24"/>
          <w:highlight w:val="none"/>
        </w:rPr>
        <w:t>。</w:t>
      </w:r>
    </w:p>
    <w:p w14:paraId="0D4A14A4">
      <w:pPr>
        <w:pStyle w:val="96"/>
        <w:spacing w:line="288" w:lineRule="auto"/>
        <w:ind w:left="0"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2、投标有效期为递交投标文件截止日后90天，中标人投标有效期延至合同验收之日。</w:t>
      </w:r>
    </w:p>
    <w:p w14:paraId="102FAD26">
      <w:pPr>
        <w:pStyle w:val="96"/>
        <w:spacing w:line="288" w:lineRule="auto"/>
        <w:ind w:left="0"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如果我方中标，我们保证根据招标文件规定履行合同责任和义务。具体</w:t>
      </w:r>
      <w:r>
        <w:rPr>
          <w:rFonts w:hint="eastAsia" w:ascii="宋体" w:hAnsi="宋体" w:cs="宋体"/>
          <w:color w:val="auto"/>
          <w:sz w:val="24"/>
          <w:szCs w:val="24"/>
          <w:highlight w:val="none"/>
          <w:lang w:val="en-US" w:eastAsia="zh-CN"/>
        </w:rPr>
        <w:t>供货时间</w:t>
      </w:r>
      <w:r>
        <w:rPr>
          <w:rFonts w:hint="eastAsia" w:ascii="宋体" w:hAnsi="宋体" w:cs="宋体"/>
          <w:color w:val="auto"/>
          <w:sz w:val="24"/>
          <w:szCs w:val="24"/>
          <w:highlight w:val="none"/>
          <w:lang w:val="zh-CN"/>
        </w:rPr>
        <w:t>承诺如下：</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w:t>
      </w:r>
    </w:p>
    <w:p w14:paraId="2561BCFE">
      <w:pPr>
        <w:pStyle w:val="96"/>
        <w:spacing w:line="288" w:lineRule="auto"/>
        <w:ind w:left="0"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我方人民币</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元的投标保证金与本投标文件同时提交。</w:t>
      </w:r>
    </w:p>
    <w:p w14:paraId="61981758">
      <w:pPr>
        <w:pStyle w:val="96"/>
        <w:spacing w:line="288" w:lineRule="auto"/>
        <w:ind w:left="0"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5、我方已经详细地阅读了全部招标文件及其附件，包括澄清及参考文件(如果有的话)。我方已完全清晰理解招标文件的要求，不存在任何含糊不清和误解之处，同意放弃对这些文件所提出的异议和质疑的权利。</w:t>
      </w:r>
    </w:p>
    <w:p w14:paraId="5DADCEB4">
      <w:pPr>
        <w:pStyle w:val="96"/>
        <w:spacing w:line="288" w:lineRule="auto"/>
        <w:ind w:left="0"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6、我方已毫无保留地向贵方提供一切所需的证明材料。</w:t>
      </w:r>
    </w:p>
    <w:p w14:paraId="0E799A4C">
      <w:pPr>
        <w:pStyle w:val="96"/>
        <w:spacing w:line="288" w:lineRule="auto"/>
        <w:ind w:left="0"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7、我方承诺在本次投标文件中提供的一切文件，无论是原件还是复印件均为真实和准确的，绝无任何虚假、伪造和夸大的成</w:t>
      </w:r>
      <w:r>
        <w:rPr>
          <w:rFonts w:hint="eastAsia" w:ascii="宋体" w:hAnsi="宋体" w:cs="宋体"/>
          <w:color w:val="auto"/>
          <w:sz w:val="24"/>
          <w:szCs w:val="24"/>
          <w:highlight w:val="none"/>
          <w:lang w:val="en-US" w:eastAsia="zh-CN"/>
        </w:rPr>
        <w:t>分</w:t>
      </w:r>
      <w:r>
        <w:rPr>
          <w:rFonts w:hint="eastAsia" w:ascii="宋体" w:hAnsi="宋体" w:cs="宋体"/>
          <w:color w:val="auto"/>
          <w:sz w:val="24"/>
          <w:szCs w:val="24"/>
          <w:highlight w:val="none"/>
        </w:rPr>
        <w:t>，否则，愿承担相应的后果和法律责任。</w:t>
      </w:r>
    </w:p>
    <w:p w14:paraId="283CC0D4">
      <w:pPr>
        <w:pStyle w:val="96"/>
        <w:spacing w:line="288" w:lineRule="auto"/>
        <w:ind w:left="0"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8、我方完全服从和尊重评委会所作的评定结果。</w:t>
      </w:r>
    </w:p>
    <w:p w14:paraId="3C9593D3">
      <w:pPr>
        <w:pStyle w:val="96"/>
        <w:spacing w:line="288" w:lineRule="auto"/>
        <w:ind w:left="0"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9、我方同意按招标文件规定向采购代理机构缴纳中标服务费。</w:t>
      </w:r>
    </w:p>
    <w:p w14:paraId="4F643524">
      <w:pPr>
        <w:pStyle w:val="96"/>
        <w:spacing w:line="288" w:lineRule="auto"/>
        <w:ind w:left="420" w:firstLine="0" w:firstLineChars="0"/>
        <w:rPr>
          <w:rFonts w:ascii="宋体" w:hAnsi="宋体" w:cs="宋体"/>
          <w:color w:val="auto"/>
          <w:sz w:val="24"/>
          <w:szCs w:val="24"/>
          <w:highlight w:val="none"/>
        </w:rPr>
      </w:pPr>
    </w:p>
    <w:tbl>
      <w:tblPr>
        <w:tblStyle w:val="43"/>
        <w:tblW w:w="8528" w:type="dxa"/>
        <w:jc w:val="center"/>
        <w:tblLayout w:type="fixed"/>
        <w:tblCellMar>
          <w:top w:w="0" w:type="dxa"/>
          <w:left w:w="108" w:type="dxa"/>
          <w:bottom w:w="0" w:type="dxa"/>
          <w:right w:w="108" w:type="dxa"/>
        </w:tblCellMar>
      </w:tblPr>
      <w:tblGrid>
        <w:gridCol w:w="4264"/>
        <w:gridCol w:w="4264"/>
      </w:tblGrid>
      <w:tr w14:paraId="7BF8243B">
        <w:tblPrEx>
          <w:tblCellMar>
            <w:top w:w="0" w:type="dxa"/>
            <w:left w:w="108" w:type="dxa"/>
            <w:bottom w:w="0" w:type="dxa"/>
            <w:right w:w="108" w:type="dxa"/>
          </w:tblCellMar>
        </w:tblPrEx>
        <w:trPr>
          <w:jc w:val="center"/>
        </w:trPr>
        <w:tc>
          <w:tcPr>
            <w:tcW w:w="4264" w:type="dxa"/>
            <w:shd w:val="clear" w:color="auto" w:fill="auto"/>
          </w:tcPr>
          <w:p w14:paraId="6A3B5AA7">
            <w:pPr>
              <w:spacing w:before="120" w:beforeLines="50"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供应商地址：</w:t>
            </w:r>
          </w:p>
        </w:tc>
        <w:tc>
          <w:tcPr>
            <w:tcW w:w="4264" w:type="dxa"/>
            <w:shd w:val="clear" w:color="auto" w:fill="auto"/>
          </w:tcPr>
          <w:p w14:paraId="3F31A101">
            <w:pPr>
              <w:spacing w:before="120" w:beforeLines="50" w:line="288" w:lineRule="auto"/>
              <w:rPr>
                <w:rFonts w:ascii="宋体" w:hAnsi="宋体" w:cs="宋体"/>
                <w:color w:val="auto"/>
                <w:sz w:val="24"/>
                <w:szCs w:val="24"/>
                <w:highlight w:val="none"/>
              </w:rPr>
            </w:pPr>
            <w:r>
              <w:rPr>
                <w:rFonts w:hint="eastAsia" w:ascii="宋体" w:hAnsi="宋体" w:cs="宋体"/>
                <w:color w:val="auto"/>
                <w:sz w:val="24"/>
                <w:szCs w:val="24"/>
                <w:highlight w:val="none"/>
              </w:rPr>
              <w:t>邮编：</w:t>
            </w:r>
          </w:p>
        </w:tc>
      </w:tr>
      <w:tr w14:paraId="4CC816D6">
        <w:tblPrEx>
          <w:tblCellMar>
            <w:top w:w="0" w:type="dxa"/>
            <w:left w:w="108" w:type="dxa"/>
            <w:bottom w:w="0" w:type="dxa"/>
            <w:right w:w="108" w:type="dxa"/>
          </w:tblCellMar>
        </w:tblPrEx>
        <w:trPr>
          <w:jc w:val="center"/>
        </w:trPr>
        <w:tc>
          <w:tcPr>
            <w:tcW w:w="4264" w:type="dxa"/>
            <w:shd w:val="clear" w:color="auto" w:fill="auto"/>
          </w:tcPr>
          <w:p w14:paraId="79BB95AD">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c>
          <w:tcPr>
            <w:tcW w:w="4264" w:type="dxa"/>
            <w:shd w:val="clear" w:color="auto" w:fill="auto"/>
          </w:tcPr>
          <w:p w14:paraId="680C7465">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传真：</w:t>
            </w:r>
          </w:p>
        </w:tc>
      </w:tr>
      <w:tr w14:paraId="12D0436A">
        <w:tblPrEx>
          <w:tblCellMar>
            <w:top w:w="0" w:type="dxa"/>
            <w:left w:w="108" w:type="dxa"/>
            <w:bottom w:w="0" w:type="dxa"/>
            <w:right w:w="108" w:type="dxa"/>
          </w:tblCellMar>
        </w:tblPrEx>
        <w:trPr>
          <w:jc w:val="center"/>
        </w:trPr>
        <w:tc>
          <w:tcPr>
            <w:tcW w:w="4264" w:type="dxa"/>
            <w:shd w:val="clear" w:color="auto" w:fill="auto"/>
          </w:tcPr>
          <w:p w14:paraId="6492F1B3">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项目联系人：</w:t>
            </w:r>
          </w:p>
        </w:tc>
        <w:tc>
          <w:tcPr>
            <w:tcW w:w="4264" w:type="dxa"/>
            <w:shd w:val="clear" w:color="auto" w:fill="auto"/>
          </w:tcPr>
          <w:p w14:paraId="1FE40C7D">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手机：</w:t>
            </w:r>
          </w:p>
        </w:tc>
      </w:tr>
      <w:tr w14:paraId="34FE4D8B">
        <w:tblPrEx>
          <w:tblCellMar>
            <w:top w:w="0" w:type="dxa"/>
            <w:left w:w="108" w:type="dxa"/>
            <w:bottom w:w="0" w:type="dxa"/>
            <w:right w:w="108" w:type="dxa"/>
          </w:tblCellMar>
        </w:tblPrEx>
        <w:trPr>
          <w:jc w:val="center"/>
        </w:trPr>
        <w:tc>
          <w:tcPr>
            <w:tcW w:w="8528" w:type="dxa"/>
            <w:gridSpan w:val="2"/>
            <w:shd w:val="clear" w:color="auto" w:fill="auto"/>
          </w:tcPr>
          <w:p w14:paraId="2B4233B7">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r>
      <w:tr w14:paraId="0849F3AA">
        <w:tblPrEx>
          <w:tblCellMar>
            <w:top w:w="0" w:type="dxa"/>
            <w:left w:w="108" w:type="dxa"/>
            <w:bottom w:w="0" w:type="dxa"/>
            <w:right w:w="108" w:type="dxa"/>
          </w:tblCellMar>
        </w:tblPrEx>
        <w:trPr>
          <w:jc w:val="center"/>
        </w:trPr>
        <w:tc>
          <w:tcPr>
            <w:tcW w:w="8528" w:type="dxa"/>
            <w:gridSpan w:val="2"/>
            <w:shd w:val="clear" w:color="auto" w:fill="auto"/>
          </w:tcPr>
          <w:p w14:paraId="18283C67">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供应商法定代表人或被授权人（签名或盖章）：</w:t>
            </w:r>
          </w:p>
        </w:tc>
      </w:tr>
      <w:tr w14:paraId="4AA7D701">
        <w:tblPrEx>
          <w:tblCellMar>
            <w:top w:w="0" w:type="dxa"/>
            <w:left w:w="108" w:type="dxa"/>
            <w:bottom w:w="0" w:type="dxa"/>
            <w:right w:w="108" w:type="dxa"/>
          </w:tblCellMar>
        </w:tblPrEx>
        <w:trPr>
          <w:jc w:val="center"/>
        </w:trPr>
        <w:tc>
          <w:tcPr>
            <w:tcW w:w="8528" w:type="dxa"/>
            <w:gridSpan w:val="2"/>
            <w:shd w:val="clear" w:color="auto" w:fill="auto"/>
          </w:tcPr>
          <w:p w14:paraId="1EC3079C">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tc>
      </w:tr>
    </w:tbl>
    <w:p w14:paraId="257DEF79">
      <w:pPr>
        <w:spacing w:before="120" w:beforeLines="50" w:after="120" w:afterLines="50" w:line="360" w:lineRule="auto"/>
        <w:jc w:val="center"/>
        <w:rPr>
          <w:rFonts w:ascii="宋体" w:hAnsi="宋体" w:cs="宋体"/>
          <w:b/>
          <w:color w:val="auto"/>
          <w:spacing w:val="20"/>
          <w:sz w:val="30"/>
          <w:szCs w:val="30"/>
          <w:highlight w:val="none"/>
        </w:rPr>
      </w:pPr>
    </w:p>
    <w:p w14:paraId="3B1EC01F">
      <w:pPr>
        <w:rPr>
          <w:rFonts w:ascii="宋体" w:hAnsi="宋体" w:cs="宋体"/>
          <w:b/>
          <w:color w:val="auto"/>
          <w:spacing w:val="20"/>
          <w:sz w:val="30"/>
          <w:szCs w:val="30"/>
          <w:highlight w:val="none"/>
        </w:rPr>
      </w:pPr>
      <w:r>
        <w:rPr>
          <w:rFonts w:hint="eastAsia" w:ascii="宋体" w:hAnsi="宋体" w:cs="宋体"/>
          <w:b/>
          <w:color w:val="auto"/>
          <w:spacing w:val="20"/>
          <w:sz w:val="30"/>
          <w:szCs w:val="30"/>
          <w:highlight w:val="none"/>
        </w:rPr>
        <w:br w:type="page"/>
      </w:r>
    </w:p>
    <w:p w14:paraId="661957A4">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四、法定代表人身份证明书</w:t>
      </w:r>
    </w:p>
    <w:p w14:paraId="063FBB66">
      <w:pPr>
        <w:spacing w:before="240" w:beforeLines="100" w:after="120" w:afterLines="50"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致：</w:t>
      </w:r>
      <w:r>
        <w:rPr>
          <w:rFonts w:hint="eastAsia" w:ascii="宋体" w:hAnsi="宋体" w:cs="宋体"/>
          <w:b/>
          <w:color w:val="auto"/>
          <w:sz w:val="24"/>
          <w:szCs w:val="24"/>
          <w:highlight w:val="none"/>
          <w:u w:val="single"/>
        </w:rPr>
        <w:t>(采购代理机构名称)</w:t>
      </w:r>
    </w:p>
    <w:tbl>
      <w:tblPr>
        <w:tblStyle w:val="43"/>
        <w:tblW w:w="8528" w:type="dxa"/>
        <w:jc w:val="center"/>
        <w:tblLayout w:type="fixed"/>
        <w:tblCellMar>
          <w:top w:w="0" w:type="dxa"/>
          <w:left w:w="108" w:type="dxa"/>
          <w:bottom w:w="0" w:type="dxa"/>
          <w:right w:w="108" w:type="dxa"/>
        </w:tblCellMar>
      </w:tblPr>
      <w:tblGrid>
        <w:gridCol w:w="2802"/>
        <w:gridCol w:w="1462"/>
        <w:gridCol w:w="4264"/>
      </w:tblGrid>
      <w:tr w14:paraId="034F7B2E">
        <w:tblPrEx>
          <w:tblCellMar>
            <w:top w:w="0" w:type="dxa"/>
            <w:left w:w="108" w:type="dxa"/>
            <w:bottom w:w="0" w:type="dxa"/>
            <w:right w:w="108" w:type="dxa"/>
          </w:tblCellMar>
        </w:tblPrEx>
        <w:trPr>
          <w:jc w:val="center"/>
        </w:trPr>
        <w:tc>
          <w:tcPr>
            <w:tcW w:w="8528" w:type="dxa"/>
            <w:gridSpan w:val="3"/>
            <w:shd w:val="clear" w:color="auto" w:fill="auto"/>
          </w:tcPr>
          <w:p w14:paraId="708EFC7F">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同志，现任我单位职务，为法定代表人，特此证明。</w:t>
            </w:r>
          </w:p>
        </w:tc>
      </w:tr>
      <w:tr w14:paraId="3BAFB579">
        <w:tblPrEx>
          <w:tblCellMar>
            <w:top w:w="0" w:type="dxa"/>
            <w:left w:w="108" w:type="dxa"/>
            <w:bottom w:w="0" w:type="dxa"/>
            <w:right w:w="108" w:type="dxa"/>
          </w:tblCellMar>
        </w:tblPrEx>
        <w:trPr>
          <w:jc w:val="center"/>
        </w:trPr>
        <w:tc>
          <w:tcPr>
            <w:tcW w:w="8528" w:type="dxa"/>
            <w:gridSpan w:val="3"/>
            <w:shd w:val="clear" w:color="auto" w:fill="auto"/>
          </w:tcPr>
          <w:p w14:paraId="1365D43A">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单位名称：</w:t>
            </w:r>
          </w:p>
        </w:tc>
      </w:tr>
      <w:tr w14:paraId="563D5E0B">
        <w:tblPrEx>
          <w:tblCellMar>
            <w:top w:w="0" w:type="dxa"/>
            <w:left w:w="108" w:type="dxa"/>
            <w:bottom w:w="0" w:type="dxa"/>
            <w:right w:w="108" w:type="dxa"/>
          </w:tblCellMar>
        </w:tblPrEx>
        <w:trPr>
          <w:jc w:val="center"/>
        </w:trPr>
        <w:tc>
          <w:tcPr>
            <w:tcW w:w="8528" w:type="dxa"/>
            <w:gridSpan w:val="3"/>
            <w:shd w:val="clear" w:color="auto" w:fill="auto"/>
          </w:tcPr>
          <w:p w14:paraId="0AE1FADC">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单位地址：</w:t>
            </w:r>
          </w:p>
        </w:tc>
      </w:tr>
      <w:tr w14:paraId="57489DBE">
        <w:tblPrEx>
          <w:tblCellMar>
            <w:top w:w="0" w:type="dxa"/>
            <w:left w:w="108" w:type="dxa"/>
            <w:bottom w:w="0" w:type="dxa"/>
            <w:right w:w="108" w:type="dxa"/>
          </w:tblCellMar>
        </w:tblPrEx>
        <w:trPr>
          <w:jc w:val="center"/>
        </w:trPr>
        <w:tc>
          <w:tcPr>
            <w:tcW w:w="4264" w:type="dxa"/>
            <w:gridSpan w:val="2"/>
            <w:shd w:val="clear" w:color="auto" w:fill="auto"/>
          </w:tcPr>
          <w:p w14:paraId="4398E1E0">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代表人姓名：</w:t>
            </w:r>
          </w:p>
        </w:tc>
        <w:tc>
          <w:tcPr>
            <w:tcW w:w="4264" w:type="dxa"/>
            <w:shd w:val="clear" w:color="auto" w:fill="auto"/>
          </w:tcPr>
          <w:p w14:paraId="5016734E">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代表人联系电话：</w:t>
            </w:r>
          </w:p>
        </w:tc>
      </w:tr>
      <w:tr w14:paraId="44DF1BF6">
        <w:tblPrEx>
          <w:tblCellMar>
            <w:top w:w="0" w:type="dxa"/>
            <w:left w:w="108" w:type="dxa"/>
            <w:bottom w:w="0" w:type="dxa"/>
            <w:right w:w="108" w:type="dxa"/>
          </w:tblCellMar>
        </w:tblPrEx>
        <w:trPr>
          <w:jc w:val="center"/>
        </w:trPr>
        <w:tc>
          <w:tcPr>
            <w:tcW w:w="4264" w:type="dxa"/>
            <w:gridSpan w:val="2"/>
            <w:shd w:val="clear" w:color="auto" w:fill="auto"/>
          </w:tcPr>
          <w:p w14:paraId="1CDC4FDD">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代表人性别：</w:t>
            </w:r>
          </w:p>
        </w:tc>
        <w:tc>
          <w:tcPr>
            <w:tcW w:w="4264" w:type="dxa"/>
            <w:shd w:val="clear" w:color="auto" w:fill="auto"/>
          </w:tcPr>
          <w:p w14:paraId="30A0BCBC">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代表人年龄：</w:t>
            </w:r>
          </w:p>
        </w:tc>
      </w:tr>
      <w:tr w14:paraId="6ED3FA69">
        <w:tblPrEx>
          <w:tblCellMar>
            <w:top w:w="0" w:type="dxa"/>
            <w:left w:w="108" w:type="dxa"/>
            <w:bottom w:w="0" w:type="dxa"/>
            <w:right w:w="108" w:type="dxa"/>
          </w:tblCellMar>
        </w:tblPrEx>
        <w:trPr>
          <w:jc w:val="center"/>
        </w:trPr>
        <w:tc>
          <w:tcPr>
            <w:tcW w:w="4264" w:type="dxa"/>
            <w:gridSpan w:val="2"/>
            <w:shd w:val="clear" w:color="auto" w:fill="auto"/>
          </w:tcPr>
          <w:p w14:paraId="495BC452">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代表人身份证号码：</w:t>
            </w:r>
          </w:p>
        </w:tc>
        <w:tc>
          <w:tcPr>
            <w:tcW w:w="4264" w:type="dxa"/>
            <w:shd w:val="clear" w:color="auto" w:fill="auto"/>
          </w:tcPr>
          <w:p w14:paraId="02CA5BE9">
            <w:pPr>
              <w:spacing w:line="288" w:lineRule="auto"/>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营业执照或事业单位法人证书号码：</w:t>
            </w:r>
          </w:p>
        </w:tc>
      </w:tr>
      <w:tr w14:paraId="31953557">
        <w:tblPrEx>
          <w:tblCellMar>
            <w:top w:w="0" w:type="dxa"/>
            <w:left w:w="108" w:type="dxa"/>
            <w:bottom w:w="0" w:type="dxa"/>
            <w:right w:w="108" w:type="dxa"/>
          </w:tblCellMar>
        </w:tblPrEx>
        <w:trPr>
          <w:jc w:val="center"/>
        </w:trPr>
        <w:tc>
          <w:tcPr>
            <w:tcW w:w="4264" w:type="dxa"/>
            <w:gridSpan w:val="2"/>
            <w:shd w:val="clear" w:color="auto" w:fill="auto"/>
          </w:tcPr>
          <w:p w14:paraId="147F50DA">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单位性质：</w:t>
            </w:r>
          </w:p>
        </w:tc>
        <w:tc>
          <w:tcPr>
            <w:tcW w:w="4264" w:type="dxa"/>
            <w:shd w:val="clear" w:color="auto" w:fill="auto"/>
          </w:tcPr>
          <w:p w14:paraId="116E0361">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经营期限：</w:t>
            </w:r>
          </w:p>
        </w:tc>
      </w:tr>
      <w:tr w14:paraId="35EB32BF">
        <w:tblPrEx>
          <w:tblCellMar>
            <w:top w:w="0" w:type="dxa"/>
            <w:left w:w="108" w:type="dxa"/>
            <w:bottom w:w="0" w:type="dxa"/>
            <w:right w:w="108" w:type="dxa"/>
          </w:tblCellMar>
        </w:tblPrEx>
        <w:trPr>
          <w:trHeight w:val="461" w:hRule="atLeast"/>
          <w:jc w:val="center"/>
        </w:trPr>
        <w:tc>
          <w:tcPr>
            <w:tcW w:w="8528" w:type="dxa"/>
            <w:gridSpan w:val="3"/>
            <w:shd w:val="clear" w:color="auto" w:fill="auto"/>
            <w:vAlign w:val="center"/>
          </w:tcPr>
          <w:p w14:paraId="74922BC4">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特此证明！</w:t>
            </w:r>
          </w:p>
        </w:tc>
      </w:tr>
      <w:tr w14:paraId="3F3F2D2E">
        <w:tblPrEx>
          <w:tblCellMar>
            <w:top w:w="0" w:type="dxa"/>
            <w:left w:w="108" w:type="dxa"/>
            <w:bottom w:w="0" w:type="dxa"/>
            <w:right w:w="108" w:type="dxa"/>
          </w:tblCellMar>
        </w:tblPrEx>
        <w:trPr>
          <w:jc w:val="center"/>
        </w:trPr>
        <w:tc>
          <w:tcPr>
            <w:tcW w:w="2802" w:type="dxa"/>
            <w:shd w:val="clear" w:color="auto" w:fill="auto"/>
          </w:tcPr>
          <w:p w14:paraId="34AA8DF5">
            <w:pPr>
              <w:spacing w:line="288" w:lineRule="auto"/>
              <w:rPr>
                <w:rFonts w:ascii="宋体" w:hAnsi="宋体" w:cs="宋体"/>
                <w:color w:val="auto"/>
                <w:sz w:val="24"/>
                <w:szCs w:val="24"/>
                <w:highlight w:val="none"/>
              </w:rPr>
            </w:pPr>
          </w:p>
        </w:tc>
        <w:tc>
          <w:tcPr>
            <w:tcW w:w="5726" w:type="dxa"/>
            <w:gridSpan w:val="2"/>
            <w:shd w:val="clear" w:color="auto" w:fill="auto"/>
          </w:tcPr>
          <w:p w14:paraId="50FFDD0D">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r>
      <w:tr w14:paraId="23EE2EBD">
        <w:tblPrEx>
          <w:tblCellMar>
            <w:top w:w="0" w:type="dxa"/>
            <w:left w:w="108" w:type="dxa"/>
            <w:bottom w:w="0" w:type="dxa"/>
            <w:right w:w="108" w:type="dxa"/>
          </w:tblCellMar>
        </w:tblPrEx>
        <w:trPr>
          <w:jc w:val="center"/>
        </w:trPr>
        <w:tc>
          <w:tcPr>
            <w:tcW w:w="2802" w:type="dxa"/>
            <w:shd w:val="clear" w:color="auto" w:fill="auto"/>
          </w:tcPr>
          <w:p w14:paraId="3948D9C2">
            <w:pPr>
              <w:spacing w:line="288" w:lineRule="auto"/>
              <w:rPr>
                <w:rFonts w:ascii="宋体" w:hAnsi="宋体" w:cs="宋体"/>
                <w:color w:val="auto"/>
                <w:sz w:val="24"/>
                <w:szCs w:val="24"/>
                <w:highlight w:val="none"/>
              </w:rPr>
            </w:pPr>
          </w:p>
        </w:tc>
        <w:tc>
          <w:tcPr>
            <w:tcW w:w="5726" w:type="dxa"/>
            <w:gridSpan w:val="2"/>
            <w:shd w:val="clear" w:color="auto" w:fill="auto"/>
          </w:tcPr>
          <w:p w14:paraId="30E8503C">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法定代表人（签名或盖章）：</w:t>
            </w:r>
          </w:p>
        </w:tc>
      </w:tr>
      <w:tr w14:paraId="7E5EF0AD">
        <w:tblPrEx>
          <w:tblCellMar>
            <w:top w:w="0" w:type="dxa"/>
            <w:left w:w="108" w:type="dxa"/>
            <w:bottom w:w="0" w:type="dxa"/>
            <w:right w:w="108" w:type="dxa"/>
          </w:tblCellMar>
        </w:tblPrEx>
        <w:trPr>
          <w:jc w:val="center"/>
        </w:trPr>
        <w:tc>
          <w:tcPr>
            <w:tcW w:w="2802" w:type="dxa"/>
            <w:shd w:val="clear" w:color="auto" w:fill="auto"/>
          </w:tcPr>
          <w:p w14:paraId="4EE7738A">
            <w:pPr>
              <w:spacing w:line="288" w:lineRule="auto"/>
              <w:rPr>
                <w:rFonts w:ascii="宋体" w:hAnsi="宋体" w:cs="宋体"/>
                <w:color w:val="auto"/>
                <w:sz w:val="24"/>
                <w:szCs w:val="24"/>
                <w:highlight w:val="none"/>
              </w:rPr>
            </w:pPr>
          </w:p>
        </w:tc>
        <w:tc>
          <w:tcPr>
            <w:tcW w:w="5726" w:type="dxa"/>
            <w:gridSpan w:val="2"/>
            <w:shd w:val="clear" w:color="auto" w:fill="auto"/>
          </w:tcPr>
          <w:p w14:paraId="36AF2F86">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tc>
      </w:tr>
    </w:tbl>
    <w:p w14:paraId="403DB4FD">
      <w:pPr>
        <w:spacing w:before="120" w:beforeLines="50" w:after="72" w:afterLines="30" w:line="288" w:lineRule="auto"/>
        <w:rPr>
          <w:rFonts w:ascii="宋体" w:hAnsi="宋体" w:cs="宋体"/>
          <w:color w:val="auto"/>
          <w:sz w:val="24"/>
          <w:szCs w:val="24"/>
          <w:highlight w:val="none"/>
        </w:rPr>
      </w:pPr>
      <w:r>
        <w:rPr>
          <w:rFonts w:hint="eastAsia" w:ascii="宋体" w:hAnsi="宋体" w:cs="宋体"/>
          <w:color w:val="auto"/>
          <w:sz w:val="24"/>
          <w:szCs w:val="24"/>
          <w:highlight w:val="none"/>
        </w:rPr>
        <w:t>须附：法定代表人有效期内身份证复印件</w:t>
      </w:r>
    </w:p>
    <w:tbl>
      <w:tblPr>
        <w:tblStyle w:val="43"/>
        <w:tblW w:w="8941"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77"/>
        <w:gridCol w:w="4264"/>
      </w:tblGrid>
      <w:tr w14:paraId="20A8514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833" w:hRule="atLeast"/>
          <w:jc w:val="center"/>
        </w:trPr>
        <w:tc>
          <w:tcPr>
            <w:tcW w:w="4677" w:type="dxa"/>
            <w:vAlign w:val="center"/>
          </w:tcPr>
          <w:p w14:paraId="54245DD7">
            <w:pPr>
              <w:pStyle w:val="138"/>
              <w:spacing w:line="288" w:lineRule="auto"/>
              <w:ind w:firstLine="0" w:firstLineChars="0"/>
              <w:jc w:val="center"/>
              <w:rPr>
                <w:rFonts w:ascii="宋体" w:eastAsia="宋体" w:cs="宋体"/>
                <w:color w:val="auto"/>
                <w:sz w:val="24"/>
                <w:szCs w:val="24"/>
                <w:highlight w:val="none"/>
              </w:rPr>
            </w:pPr>
            <w:r>
              <w:rPr>
                <w:rFonts w:hint="eastAsia" w:ascii="宋体" w:eastAsia="宋体" w:cs="宋体"/>
                <w:color w:val="auto"/>
                <w:sz w:val="24"/>
                <w:szCs w:val="24"/>
                <w:highlight w:val="none"/>
              </w:rPr>
              <w:t>正面</w:t>
            </w:r>
          </w:p>
        </w:tc>
        <w:tc>
          <w:tcPr>
            <w:tcW w:w="4264" w:type="dxa"/>
            <w:vAlign w:val="center"/>
          </w:tcPr>
          <w:p w14:paraId="27FC6649">
            <w:pPr>
              <w:pStyle w:val="138"/>
              <w:spacing w:line="288" w:lineRule="auto"/>
              <w:ind w:firstLine="0" w:firstLineChars="0"/>
              <w:jc w:val="center"/>
              <w:rPr>
                <w:rFonts w:ascii="宋体" w:eastAsia="宋体" w:cs="宋体"/>
                <w:color w:val="auto"/>
                <w:sz w:val="24"/>
                <w:szCs w:val="24"/>
                <w:highlight w:val="none"/>
              </w:rPr>
            </w:pPr>
            <w:r>
              <w:rPr>
                <w:rFonts w:hint="eastAsia" w:ascii="宋体" w:eastAsia="宋体" w:cs="宋体"/>
                <w:color w:val="auto"/>
                <w:sz w:val="24"/>
                <w:szCs w:val="24"/>
                <w:highlight w:val="none"/>
              </w:rPr>
              <w:t>背面</w:t>
            </w:r>
          </w:p>
        </w:tc>
      </w:tr>
    </w:tbl>
    <w:p w14:paraId="3F05E344">
      <w:pPr>
        <w:spacing w:before="120" w:beforeLines="50" w:after="120" w:afterLines="50" w:line="288" w:lineRule="auto"/>
        <w:jc w:val="center"/>
        <w:rPr>
          <w:rFonts w:ascii="宋体" w:hAnsi="宋体" w:cs="宋体"/>
          <w:b/>
          <w:color w:val="auto"/>
          <w:spacing w:val="20"/>
          <w:sz w:val="24"/>
          <w:szCs w:val="24"/>
          <w:highlight w:val="none"/>
        </w:rPr>
      </w:pPr>
    </w:p>
    <w:p w14:paraId="16AE261C">
      <w:pPr>
        <w:spacing w:line="288" w:lineRule="auto"/>
        <w:rPr>
          <w:rFonts w:ascii="宋体" w:hAnsi="宋体" w:cs="宋体"/>
          <w:b/>
          <w:color w:val="auto"/>
          <w:spacing w:val="20"/>
          <w:sz w:val="30"/>
          <w:szCs w:val="30"/>
          <w:highlight w:val="none"/>
        </w:rPr>
      </w:pPr>
      <w:r>
        <w:rPr>
          <w:rFonts w:hint="eastAsia" w:ascii="宋体" w:hAnsi="宋体" w:cs="宋体"/>
          <w:b/>
          <w:color w:val="auto"/>
          <w:spacing w:val="20"/>
          <w:sz w:val="24"/>
          <w:szCs w:val="24"/>
          <w:highlight w:val="none"/>
        </w:rPr>
        <w:br w:type="page"/>
      </w:r>
    </w:p>
    <w:p w14:paraId="0253EEA8">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五、法定代表人授权委托书</w:t>
      </w:r>
    </w:p>
    <w:p w14:paraId="3FC3B694">
      <w:pPr>
        <w:spacing w:before="360" w:beforeLines="150" w:after="240" w:afterLines="100"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致：</w:t>
      </w:r>
      <w:r>
        <w:rPr>
          <w:rFonts w:hint="eastAsia" w:ascii="宋体" w:hAnsi="宋体" w:cs="宋体"/>
          <w:b/>
          <w:color w:val="auto"/>
          <w:sz w:val="24"/>
          <w:szCs w:val="24"/>
          <w:highlight w:val="none"/>
          <w:u w:val="single"/>
        </w:rPr>
        <w:t>(采购代理机构名称)</w:t>
      </w:r>
    </w:p>
    <w:p w14:paraId="5DC2BA72">
      <w:pPr>
        <w:pStyle w:val="138"/>
        <w:spacing w:line="288" w:lineRule="auto"/>
        <w:ind w:firstLine="450" w:firstLineChars="0"/>
        <w:rPr>
          <w:rFonts w:ascii="宋体" w:eastAsia="宋体" w:cs="宋体"/>
          <w:color w:val="auto"/>
          <w:sz w:val="24"/>
          <w:szCs w:val="24"/>
          <w:highlight w:val="none"/>
        </w:rPr>
      </w:pPr>
      <w:r>
        <w:rPr>
          <w:rFonts w:hint="eastAsia" w:ascii="宋体" w:eastAsia="宋体" w:cs="宋体"/>
          <w:color w:val="auto"/>
          <w:sz w:val="24"/>
          <w:szCs w:val="24"/>
          <w:highlight w:val="none"/>
        </w:rPr>
        <w:t>本人</w:t>
      </w:r>
      <w:r>
        <w:rPr>
          <w:rFonts w:hint="eastAsia" w:ascii="宋体" w:eastAsia="宋体" w:cs="宋体"/>
          <w:color w:val="auto"/>
          <w:sz w:val="24"/>
          <w:szCs w:val="24"/>
          <w:highlight w:val="none"/>
          <w:u w:val="single"/>
        </w:rPr>
        <w:t>（姓名）</w:t>
      </w:r>
      <w:r>
        <w:rPr>
          <w:rFonts w:hint="eastAsia" w:ascii="宋体" w:eastAsia="宋体" w:cs="宋体"/>
          <w:color w:val="auto"/>
          <w:sz w:val="24"/>
          <w:szCs w:val="24"/>
          <w:highlight w:val="none"/>
        </w:rPr>
        <w:t>系</w:t>
      </w:r>
      <w:r>
        <w:rPr>
          <w:rFonts w:hint="eastAsia" w:ascii="宋体" w:eastAsia="宋体" w:cs="宋体"/>
          <w:color w:val="auto"/>
          <w:sz w:val="24"/>
          <w:szCs w:val="24"/>
          <w:highlight w:val="none"/>
          <w:u w:val="single"/>
        </w:rPr>
        <w:t xml:space="preserve">     （供应商名称）    </w:t>
      </w:r>
      <w:r>
        <w:rPr>
          <w:rFonts w:hint="eastAsia" w:ascii="宋体" w:eastAsia="宋体" w:cs="宋体"/>
          <w:color w:val="auto"/>
          <w:sz w:val="24"/>
          <w:szCs w:val="24"/>
          <w:highlight w:val="none"/>
        </w:rPr>
        <w:t>的法定代表人，现委托</w:t>
      </w:r>
      <w:r>
        <w:rPr>
          <w:rFonts w:hint="eastAsia" w:ascii="宋体" w:eastAsia="宋体" w:cs="宋体"/>
          <w:color w:val="auto"/>
          <w:sz w:val="24"/>
          <w:szCs w:val="24"/>
          <w:highlight w:val="none"/>
          <w:u w:val="single"/>
        </w:rPr>
        <w:t xml:space="preserve"> （姓名） </w:t>
      </w:r>
      <w:r>
        <w:rPr>
          <w:rFonts w:hint="eastAsia" w:ascii="宋体" w:eastAsia="宋体" w:cs="宋体"/>
          <w:color w:val="auto"/>
          <w:sz w:val="24"/>
          <w:szCs w:val="24"/>
          <w:highlight w:val="none"/>
        </w:rPr>
        <w:t>为我方合法代理人。代理人根据授权，以我方名义签署、澄清、说明、补正、递交、撤回、修改</w:t>
      </w:r>
      <w:r>
        <w:rPr>
          <w:rFonts w:hint="eastAsia" w:ascii="宋体" w:eastAsia="宋体" w:cs="宋体"/>
          <w:color w:val="auto"/>
          <w:sz w:val="24"/>
          <w:szCs w:val="24"/>
          <w:highlight w:val="none"/>
          <w:u w:val="single"/>
        </w:rPr>
        <w:t xml:space="preserve">          （标段名称）      </w:t>
      </w:r>
      <w:r>
        <w:rPr>
          <w:rFonts w:hint="eastAsia" w:ascii="宋体" w:eastAsia="宋体" w:cs="宋体"/>
          <w:color w:val="auto"/>
          <w:sz w:val="24"/>
          <w:szCs w:val="24"/>
          <w:highlight w:val="none"/>
        </w:rPr>
        <w:t>（标段编号：</w:t>
      </w:r>
      <w:r>
        <w:rPr>
          <w:rFonts w:hint="eastAsia" w:ascii="宋体" w:eastAsia="宋体" w:cs="宋体"/>
          <w:color w:val="auto"/>
          <w:sz w:val="24"/>
          <w:szCs w:val="24"/>
          <w:highlight w:val="none"/>
          <w:u w:val="single"/>
        </w:rPr>
        <w:t>　　　</w:t>
      </w:r>
      <w:r>
        <w:rPr>
          <w:rFonts w:hint="eastAsia" w:ascii="宋体" w:eastAsia="宋体" w:cs="宋体"/>
          <w:color w:val="auto"/>
          <w:sz w:val="24"/>
          <w:szCs w:val="24"/>
          <w:highlight w:val="none"/>
        </w:rPr>
        <w:t>）投标文件、签订合同和处理有关事宜，其法律后果由我方承担。</w:t>
      </w:r>
    </w:p>
    <w:p w14:paraId="1A14511D">
      <w:pPr>
        <w:pStyle w:val="138"/>
        <w:spacing w:line="288" w:lineRule="auto"/>
        <w:ind w:firstLine="489" w:firstLineChars="204"/>
        <w:rPr>
          <w:rFonts w:ascii="宋体" w:eastAsia="宋体" w:cs="宋体"/>
          <w:color w:val="auto"/>
          <w:sz w:val="24"/>
          <w:szCs w:val="24"/>
          <w:highlight w:val="none"/>
        </w:rPr>
      </w:pPr>
      <w:r>
        <w:rPr>
          <w:rFonts w:hint="eastAsia" w:ascii="宋体" w:eastAsia="宋体" w:cs="宋体"/>
          <w:color w:val="auto"/>
          <w:sz w:val="24"/>
          <w:szCs w:val="24"/>
          <w:highlight w:val="none"/>
        </w:rPr>
        <w:t>本委托书于</w:t>
      </w:r>
      <w:r>
        <w:rPr>
          <w:rFonts w:hint="eastAsia" w:ascii="宋体" w:eastAsia="宋体" w:cs="宋体"/>
          <w:color w:val="auto"/>
          <w:sz w:val="24"/>
          <w:szCs w:val="24"/>
          <w:highlight w:val="none"/>
          <w:u w:val="single"/>
        </w:rPr>
        <w:t>　</w:t>
      </w:r>
      <w:r>
        <w:rPr>
          <w:rFonts w:hint="eastAsia" w:ascii="宋体" w:eastAsia="宋体" w:cs="宋体"/>
          <w:color w:val="auto"/>
          <w:sz w:val="24"/>
          <w:szCs w:val="24"/>
          <w:highlight w:val="none"/>
        </w:rPr>
        <w:t>年</w:t>
      </w:r>
      <w:r>
        <w:rPr>
          <w:rFonts w:hint="eastAsia" w:ascii="宋体" w:eastAsia="宋体" w:cs="宋体"/>
          <w:color w:val="auto"/>
          <w:sz w:val="24"/>
          <w:szCs w:val="24"/>
          <w:highlight w:val="none"/>
          <w:u w:val="single"/>
        </w:rPr>
        <w:t>　</w:t>
      </w:r>
      <w:r>
        <w:rPr>
          <w:rFonts w:hint="eastAsia" w:ascii="宋体" w:eastAsia="宋体" w:cs="宋体"/>
          <w:color w:val="auto"/>
          <w:sz w:val="24"/>
          <w:szCs w:val="24"/>
          <w:highlight w:val="none"/>
        </w:rPr>
        <w:t>月</w:t>
      </w:r>
      <w:r>
        <w:rPr>
          <w:rFonts w:hint="eastAsia" w:ascii="宋体" w:eastAsia="宋体" w:cs="宋体"/>
          <w:color w:val="auto"/>
          <w:sz w:val="24"/>
          <w:szCs w:val="24"/>
          <w:highlight w:val="none"/>
          <w:u w:val="single"/>
        </w:rPr>
        <w:t>　</w:t>
      </w:r>
      <w:r>
        <w:rPr>
          <w:rFonts w:hint="eastAsia" w:ascii="宋体" w:eastAsia="宋体" w:cs="宋体"/>
          <w:color w:val="auto"/>
          <w:sz w:val="24"/>
          <w:szCs w:val="24"/>
          <w:highlight w:val="none"/>
        </w:rPr>
        <w:t>日签字生效，特此证明。</w:t>
      </w:r>
    </w:p>
    <w:p w14:paraId="2FF75415">
      <w:pPr>
        <w:pStyle w:val="138"/>
        <w:spacing w:line="288" w:lineRule="auto"/>
        <w:ind w:firstLine="489" w:firstLineChars="204"/>
        <w:rPr>
          <w:rFonts w:ascii="宋体" w:eastAsia="宋体" w:cs="宋体"/>
          <w:color w:val="auto"/>
          <w:sz w:val="24"/>
          <w:szCs w:val="24"/>
          <w:highlight w:val="none"/>
        </w:rPr>
      </w:pPr>
      <w:r>
        <w:rPr>
          <w:rFonts w:hint="eastAsia" w:ascii="宋体" w:eastAsia="宋体" w:cs="宋体"/>
          <w:color w:val="auto"/>
          <w:sz w:val="24"/>
          <w:szCs w:val="24"/>
          <w:highlight w:val="none"/>
        </w:rPr>
        <w:t>被授权人无转委托权。</w:t>
      </w:r>
    </w:p>
    <w:p w14:paraId="1E93C6F1">
      <w:pPr>
        <w:pStyle w:val="138"/>
        <w:spacing w:line="288" w:lineRule="auto"/>
        <w:ind w:firstLine="0" w:firstLineChars="0"/>
        <w:rPr>
          <w:rFonts w:ascii="宋体" w:eastAsia="宋体" w:cs="宋体"/>
          <w:color w:val="auto"/>
          <w:sz w:val="24"/>
          <w:szCs w:val="24"/>
          <w:highlight w:val="none"/>
        </w:rPr>
      </w:pPr>
    </w:p>
    <w:p w14:paraId="495D68C8">
      <w:pPr>
        <w:pStyle w:val="138"/>
        <w:spacing w:line="288" w:lineRule="auto"/>
        <w:ind w:firstLine="0" w:firstLineChars="0"/>
        <w:rPr>
          <w:rFonts w:ascii="宋体" w:eastAsia="宋体" w:cs="宋体"/>
          <w:color w:val="auto"/>
          <w:sz w:val="24"/>
          <w:szCs w:val="24"/>
          <w:highlight w:val="none"/>
        </w:rPr>
      </w:pPr>
    </w:p>
    <w:tbl>
      <w:tblPr>
        <w:tblStyle w:val="43"/>
        <w:tblW w:w="5726" w:type="dxa"/>
        <w:tblInd w:w="0" w:type="dxa"/>
        <w:tblLayout w:type="fixed"/>
        <w:tblCellMar>
          <w:top w:w="0" w:type="dxa"/>
          <w:left w:w="108" w:type="dxa"/>
          <w:bottom w:w="0" w:type="dxa"/>
          <w:right w:w="108" w:type="dxa"/>
        </w:tblCellMar>
      </w:tblPr>
      <w:tblGrid>
        <w:gridCol w:w="5726"/>
      </w:tblGrid>
      <w:tr w14:paraId="6F92C2DA">
        <w:tblPrEx>
          <w:tblCellMar>
            <w:top w:w="0" w:type="dxa"/>
            <w:left w:w="108" w:type="dxa"/>
            <w:bottom w:w="0" w:type="dxa"/>
            <w:right w:w="108" w:type="dxa"/>
          </w:tblCellMar>
        </w:tblPrEx>
        <w:tc>
          <w:tcPr>
            <w:tcW w:w="5726" w:type="dxa"/>
            <w:shd w:val="clear" w:color="auto" w:fill="auto"/>
          </w:tcPr>
          <w:p w14:paraId="165D47B0">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r>
      <w:tr w14:paraId="6E4FBA68">
        <w:tblPrEx>
          <w:tblCellMar>
            <w:top w:w="0" w:type="dxa"/>
            <w:left w:w="108" w:type="dxa"/>
            <w:bottom w:w="0" w:type="dxa"/>
            <w:right w:w="108" w:type="dxa"/>
          </w:tblCellMar>
        </w:tblPrEx>
        <w:tc>
          <w:tcPr>
            <w:tcW w:w="5726" w:type="dxa"/>
            <w:shd w:val="clear" w:color="auto" w:fill="auto"/>
          </w:tcPr>
          <w:p w14:paraId="3CC5CF79">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法定代表人（签名或盖章）：</w:t>
            </w:r>
          </w:p>
        </w:tc>
      </w:tr>
      <w:tr w14:paraId="2A8C9FBD">
        <w:tblPrEx>
          <w:tblCellMar>
            <w:top w:w="0" w:type="dxa"/>
            <w:left w:w="108" w:type="dxa"/>
            <w:bottom w:w="0" w:type="dxa"/>
            <w:right w:w="108" w:type="dxa"/>
          </w:tblCellMar>
        </w:tblPrEx>
        <w:tc>
          <w:tcPr>
            <w:tcW w:w="5726" w:type="dxa"/>
            <w:shd w:val="clear" w:color="auto" w:fill="auto"/>
          </w:tcPr>
          <w:p w14:paraId="397F0DBE">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身份证号码：</w:t>
            </w:r>
          </w:p>
        </w:tc>
      </w:tr>
      <w:tr w14:paraId="60B5FDDB">
        <w:tblPrEx>
          <w:tblCellMar>
            <w:top w:w="0" w:type="dxa"/>
            <w:left w:w="108" w:type="dxa"/>
            <w:bottom w:w="0" w:type="dxa"/>
            <w:right w:w="108" w:type="dxa"/>
          </w:tblCellMar>
        </w:tblPrEx>
        <w:tc>
          <w:tcPr>
            <w:tcW w:w="5726" w:type="dxa"/>
            <w:shd w:val="clear" w:color="auto" w:fill="auto"/>
          </w:tcPr>
          <w:p w14:paraId="65620CC4">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被授权人（签名或盖章）：</w:t>
            </w:r>
          </w:p>
        </w:tc>
      </w:tr>
      <w:tr w14:paraId="2D5B23CB">
        <w:tblPrEx>
          <w:tblCellMar>
            <w:top w:w="0" w:type="dxa"/>
            <w:left w:w="108" w:type="dxa"/>
            <w:bottom w:w="0" w:type="dxa"/>
            <w:right w:w="108" w:type="dxa"/>
          </w:tblCellMar>
        </w:tblPrEx>
        <w:tc>
          <w:tcPr>
            <w:tcW w:w="5726" w:type="dxa"/>
            <w:shd w:val="clear" w:color="auto" w:fill="auto"/>
          </w:tcPr>
          <w:p w14:paraId="5680C869">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身份证号码：</w:t>
            </w:r>
          </w:p>
        </w:tc>
      </w:tr>
      <w:tr w14:paraId="76F29116">
        <w:tblPrEx>
          <w:tblCellMar>
            <w:top w:w="0" w:type="dxa"/>
            <w:left w:w="108" w:type="dxa"/>
            <w:bottom w:w="0" w:type="dxa"/>
            <w:right w:w="108" w:type="dxa"/>
          </w:tblCellMar>
        </w:tblPrEx>
        <w:tc>
          <w:tcPr>
            <w:tcW w:w="5726" w:type="dxa"/>
            <w:shd w:val="clear" w:color="auto" w:fill="auto"/>
          </w:tcPr>
          <w:p w14:paraId="69D68BB9">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年             月             日</w:t>
            </w:r>
          </w:p>
        </w:tc>
      </w:tr>
    </w:tbl>
    <w:p w14:paraId="44CA564D">
      <w:pPr>
        <w:pStyle w:val="138"/>
        <w:spacing w:line="288" w:lineRule="auto"/>
        <w:ind w:firstLine="0" w:firstLineChars="0"/>
        <w:rPr>
          <w:rFonts w:ascii="宋体" w:eastAsia="宋体" w:cs="宋体"/>
          <w:color w:val="auto"/>
          <w:sz w:val="24"/>
          <w:szCs w:val="24"/>
          <w:highlight w:val="none"/>
        </w:rPr>
      </w:pPr>
    </w:p>
    <w:p w14:paraId="65A54870">
      <w:pPr>
        <w:pStyle w:val="138"/>
        <w:spacing w:line="288" w:lineRule="auto"/>
        <w:ind w:firstLine="0" w:firstLineChars="0"/>
        <w:rPr>
          <w:rFonts w:ascii="宋体" w:eastAsia="宋体" w:cs="宋体"/>
          <w:color w:val="auto"/>
          <w:sz w:val="24"/>
          <w:szCs w:val="24"/>
          <w:highlight w:val="none"/>
        </w:rPr>
      </w:pPr>
    </w:p>
    <w:p w14:paraId="39B0432D">
      <w:pPr>
        <w:spacing w:after="120" w:afterLines="50" w:line="288" w:lineRule="auto"/>
        <w:rPr>
          <w:rFonts w:ascii="宋体" w:hAnsi="宋体" w:cs="宋体"/>
          <w:color w:val="auto"/>
          <w:sz w:val="24"/>
          <w:szCs w:val="24"/>
          <w:highlight w:val="none"/>
        </w:rPr>
      </w:pPr>
      <w:r>
        <w:rPr>
          <w:rFonts w:hint="eastAsia" w:ascii="宋体" w:hAnsi="宋体" w:cs="宋体"/>
          <w:color w:val="auto"/>
          <w:sz w:val="24"/>
          <w:szCs w:val="24"/>
          <w:highlight w:val="none"/>
        </w:rPr>
        <w:t>须附：被授权人有效期内身份证复印件</w:t>
      </w:r>
    </w:p>
    <w:tbl>
      <w:tblPr>
        <w:tblStyle w:val="43"/>
        <w:tblW w:w="879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5"/>
        <w:gridCol w:w="4264"/>
      </w:tblGrid>
      <w:tr w14:paraId="38D4DB4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4535" w:type="dxa"/>
            <w:vAlign w:val="center"/>
          </w:tcPr>
          <w:p w14:paraId="597C9E18">
            <w:pPr>
              <w:pStyle w:val="138"/>
              <w:spacing w:line="288" w:lineRule="auto"/>
              <w:ind w:firstLine="0" w:firstLineChars="0"/>
              <w:jc w:val="center"/>
              <w:rPr>
                <w:rFonts w:ascii="宋体" w:eastAsia="宋体" w:cs="宋体"/>
                <w:color w:val="auto"/>
                <w:sz w:val="24"/>
                <w:szCs w:val="24"/>
                <w:highlight w:val="none"/>
              </w:rPr>
            </w:pPr>
            <w:r>
              <w:rPr>
                <w:rFonts w:hint="eastAsia" w:ascii="宋体" w:eastAsia="宋体" w:cs="宋体"/>
                <w:color w:val="auto"/>
                <w:sz w:val="24"/>
                <w:szCs w:val="24"/>
                <w:highlight w:val="none"/>
              </w:rPr>
              <w:t>正面</w:t>
            </w:r>
          </w:p>
        </w:tc>
        <w:tc>
          <w:tcPr>
            <w:tcW w:w="4264" w:type="dxa"/>
            <w:vAlign w:val="center"/>
          </w:tcPr>
          <w:p w14:paraId="3758E0CA">
            <w:pPr>
              <w:pStyle w:val="138"/>
              <w:spacing w:line="288" w:lineRule="auto"/>
              <w:ind w:firstLine="0" w:firstLineChars="0"/>
              <w:jc w:val="center"/>
              <w:rPr>
                <w:rFonts w:ascii="宋体" w:eastAsia="宋体" w:cs="宋体"/>
                <w:color w:val="auto"/>
                <w:sz w:val="24"/>
                <w:szCs w:val="24"/>
                <w:highlight w:val="none"/>
              </w:rPr>
            </w:pPr>
            <w:r>
              <w:rPr>
                <w:rFonts w:hint="eastAsia" w:ascii="宋体" w:eastAsia="宋体" w:cs="宋体"/>
                <w:color w:val="auto"/>
                <w:sz w:val="24"/>
                <w:szCs w:val="24"/>
                <w:highlight w:val="none"/>
              </w:rPr>
              <w:t>背面</w:t>
            </w:r>
          </w:p>
        </w:tc>
      </w:tr>
    </w:tbl>
    <w:p w14:paraId="16B8B191">
      <w:pPr>
        <w:spacing w:before="120" w:beforeLines="50" w:after="120" w:afterLines="50" w:line="288" w:lineRule="auto"/>
        <w:jc w:val="center"/>
        <w:rPr>
          <w:rFonts w:ascii="宋体" w:hAnsi="宋体" w:cs="宋体"/>
          <w:b/>
          <w:color w:val="auto"/>
          <w:spacing w:val="20"/>
          <w:sz w:val="24"/>
          <w:szCs w:val="24"/>
          <w:highlight w:val="none"/>
        </w:rPr>
      </w:pPr>
    </w:p>
    <w:p w14:paraId="4A99E812">
      <w:pPr>
        <w:rPr>
          <w:rFonts w:ascii="宋体" w:hAnsi="宋体" w:cs="宋体"/>
          <w:b/>
          <w:color w:val="auto"/>
          <w:spacing w:val="20"/>
          <w:sz w:val="30"/>
          <w:szCs w:val="30"/>
          <w:highlight w:val="none"/>
        </w:rPr>
      </w:pPr>
      <w:r>
        <w:rPr>
          <w:rFonts w:hint="eastAsia" w:ascii="宋体" w:hAnsi="宋体" w:cs="宋体"/>
          <w:b/>
          <w:color w:val="auto"/>
          <w:spacing w:val="20"/>
          <w:sz w:val="30"/>
          <w:szCs w:val="30"/>
          <w:highlight w:val="none"/>
        </w:rPr>
        <w:br w:type="page"/>
      </w:r>
    </w:p>
    <w:p w14:paraId="2D5967B2">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六、供应商基本情况说明</w:t>
      </w:r>
    </w:p>
    <w:p w14:paraId="7FBC7789">
      <w:pPr>
        <w:pStyle w:val="96"/>
        <w:numPr>
          <w:ilvl w:val="0"/>
          <w:numId w:val="5"/>
        </w:numPr>
        <w:spacing w:after="120" w:afterLines="50" w:line="288"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公司基本情况</w:t>
      </w:r>
    </w:p>
    <w:tbl>
      <w:tblPr>
        <w:tblStyle w:val="43"/>
        <w:tblW w:w="9096" w:type="dxa"/>
        <w:jc w:val="center"/>
        <w:tblLayout w:type="fixed"/>
        <w:tblCellMar>
          <w:top w:w="0" w:type="dxa"/>
          <w:left w:w="108" w:type="dxa"/>
          <w:bottom w:w="0" w:type="dxa"/>
          <w:right w:w="108" w:type="dxa"/>
        </w:tblCellMar>
      </w:tblPr>
      <w:tblGrid>
        <w:gridCol w:w="2114"/>
        <w:gridCol w:w="2372"/>
        <w:gridCol w:w="1039"/>
        <w:gridCol w:w="1371"/>
        <w:gridCol w:w="2200"/>
      </w:tblGrid>
      <w:tr w14:paraId="38BCAE20">
        <w:tblPrEx>
          <w:tblCellMar>
            <w:top w:w="0" w:type="dxa"/>
            <w:left w:w="108" w:type="dxa"/>
            <w:bottom w:w="0" w:type="dxa"/>
            <w:right w:w="108" w:type="dxa"/>
          </w:tblCellMar>
        </w:tblPrEx>
        <w:trPr>
          <w:jc w:val="center"/>
        </w:trPr>
        <w:tc>
          <w:tcPr>
            <w:tcW w:w="5525" w:type="dxa"/>
            <w:gridSpan w:val="3"/>
            <w:shd w:val="clear" w:color="auto" w:fill="auto"/>
          </w:tcPr>
          <w:p w14:paraId="5691E509">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公司名称：</w:t>
            </w:r>
          </w:p>
        </w:tc>
        <w:tc>
          <w:tcPr>
            <w:tcW w:w="3571" w:type="dxa"/>
            <w:gridSpan w:val="2"/>
            <w:shd w:val="clear" w:color="auto" w:fill="auto"/>
          </w:tcPr>
          <w:p w14:paraId="5180C168">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公司固话：</w:t>
            </w:r>
          </w:p>
        </w:tc>
      </w:tr>
      <w:tr w14:paraId="2150A570">
        <w:tblPrEx>
          <w:tblCellMar>
            <w:top w:w="0" w:type="dxa"/>
            <w:left w:w="108" w:type="dxa"/>
            <w:bottom w:w="0" w:type="dxa"/>
            <w:right w:w="108" w:type="dxa"/>
          </w:tblCellMar>
        </w:tblPrEx>
        <w:trPr>
          <w:jc w:val="center"/>
        </w:trPr>
        <w:tc>
          <w:tcPr>
            <w:tcW w:w="5525" w:type="dxa"/>
            <w:gridSpan w:val="3"/>
            <w:shd w:val="clear" w:color="auto" w:fill="auto"/>
          </w:tcPr>
          <w:p w14:paraId="0F42E9B4">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单位地址：</w:t>
            </w:r>
          </w:p>
        </w:tc>
        <w:tc>
          <w:tcPr>
            <w:tcW w:w="3571" w:type="dxa"/>
            <w:gridSpan w:val="2"/>
            <w:shd w:val="clear" w:color="auto" w:fill="auto"/>
          </w:tcPr>
          <w:p w14:paraId="63E00070">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公司传真：</w:t>
            </w:r>
          </w:p>
        </w:tc>
      </w:tr>
      <w:tr w14:paraId="7973B7F0">
        <w:tblPrEx>
          <w:tblCellMar>
            <w:top w:w="0" w:type="dxa"/>
            <w:left w:w="108" w:type="dxa"/>
            <w:bottom w:w="0" w:type="dxa"/>
            <w:right w:w="108" w:type="dxa"/>
          </w:tblCellMar>
        </w:tblPrEx>
        <w:trPr>
          <w:jc w:val="center"/>
        </w:trPr>
        <w:tc>
          <w:tcPr>
            <w:tcW w:w="5525" w:type="dxa"/>
            <w:gridSpan w:val="3"/>
            <w:shd w:val="clear" w:color="auto" w:fill="auto"/>
          </w:tcPr>
          <w:p w14:paraId="3B636771">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注册资金：</w:t>
            </w:r>
          </w:p>
        </w:tc>
        <w:tc>
          <w:tcPr>
            <w:tcW w:w="3571" w:type="dxa"/>
            <w:gridSpan w:val="2"/>
            <w:shd w:val="clear" w:color="auto" w:fill="auto"/>
          </w:tcPr>
          <w:p w14:paraId="7B1C9C24">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单位性质：</w:t>
            </w:r>
          </w:p>
        </w:tc>
      </w:tr>
      <w:tr w14:paraId="4DBACB50">
        <w:tblPrEx>
          <w:tblCellMar>
            <w:top w:w="0" w:type="dxa"/>
            <w:left w:w="108" w:type="dxa"/>
            <w:bottom w:w="0" w:type="dxa"/>
            <w:right w:w="108" w:type="dxa"/>
          </w:tblCellMar>
        </w:tblPrEx>
        <w:trPr>
          <w:jc w:val="center"/>
        </w:trPr>
        <w:tc>
          <w:tcPr>
            <w:tcW w:w="5525" w:type="dxa"/>
            <w:gridSpan w:val="3"/>
            <w:shd w:val="clear" w:color="auto" w:fill="auto"/>
          </w:tcPr>
          <w:p w14:paraId="6E4CF733">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公司开户银行名称：</w:t>
            </w:r>
          </w:p>
        </w:tc>
        <w:tc>
          <w:tcPr>
            <w:tcW w:w="3571" w:type="dxa"/>
            <w:gridSpan w:val="2"/>
            <w:shd w:val="clear" w:color="auto" w:fill="auto"/>
          </w:tcPr>
          <w:p w14:paraId="516B42C5">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开户账号：</w:t>
            </w:r>
          </w:p>
        </w:tc>
      </w:tr>
      <w:tr w14:paraId="254C3955">
        <w:tblPrEx>
          <w:tblCellMar>
            <w:top w:w="0" w:type="dxa"/>
            <w:left w:w="108" w:type="dxa"/>
            <w:bottom w:w="0" w:type="dxa"/>
            <w:right w:w="108" w:type="dxa"/>
          </w:tblCellMar>
        </w:tblPrEx>
        <w:trPr>
          <w:jc w:val="center"/>
        </w:trPr>
        <w:tc>
          <w:tcPr>
            <w:tcW w:w="9096" w:type="dxa"/>
            <w:gridSpan w:val="5"/>
            <w:shd w:val="clear" w:color="auto" w:fill="auto"/>
          </w:tcPr>
          <w:p w14:paraId="3E047D07">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营业注册执照或事业单位法人证书号：</w:t>
            </w:r>
          </w:p>
        </w:tc>
      </w:tr>
      <w:tr w14:paraId="1D42F660">
        <w:tblPrEx>
          <w:tblCellMar>
            <w:top w:w="0" w:type="dxa"/>
            <w:left w:w="108" w:type="dxa"/>
            <w:bottom w:w="0" w:type="dxa"/>
            <w:right w:w="108" w:type="dxa"/>
          </w:tblCellMar>
        </w:tblPrEx>
        <w:trPr>
          <w:trHeight w:val="583" w:hRule="atLeast"/>
          <w:jc w:val="center"/>
        </w:trPr>
        <w:tc>
          <w:tcPr>
            <w:tcW w:w="9096" w:type="dxa"/>
            <w:gridSpan w:val="5"/>
            <w:shd w:val="clear" w:color="auto" w:fill="auto"/>
          </w:tcPr>
          <w:p w14:paraId="7C899A14">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公司财务状况：（如需）                           【价格单位：（人民币）元】</w:t>
            </w:r>
          </w:p>
        </w:tc>
      </w:tr>
      <w:tr w14:paraId="399080D1">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vAlign w:val="center"/>
          </w:tcPr>
          <w:p w14:paraId="4F03E2E4">
            <w:pPr>
              <w:spacing w:line="288"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  度</w:t>
            </w:r>
          </w:p>
        </w:tc>
        <w:tc>
          <w:tcPr>
            <w:tcW w:w="2372" w:type="dxa"/>
            <w:tcBorders>
              <w:top w:val="single" w:color="auto" w:sz="6" w:space="0"/>
              <w:left w:val="single" w:color="auto" w:sz="6" w:space="0"/>
              <w:bottom w:val="single" w:color="auto" w:sz="6" w:space="0"/>
              <w:right w:val="single" w:color="auto" w:sz="6" w:space="0"/>
            </w:tcBorders>
            <w:shd w:val="clear" w:color="auto" w:fill="auto"/>
            <w:vAlign w:val="center"/>
          </w:tcPr>
          <w:p w14:paraId="5B36CF4E">
            <w:pPr>
              <w:spacing w:line="288"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总资产（元）</w:t>
            </w: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4B81B0B">
            <w:pPr>
              <w:spacing w:line="288"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年营业额（元）</w:t>
            </w:r>
          </w:p>
        </w:tc>
        <w:tc>
          <w:tcPr>
            <w:tcW w:w="2200" w:type="dxa"/>
            <w:tcBorders>
              <w:top w:val="single" w:color="auto" w:sz="6" w:space="0"/>
              <w:left w:val="single" w:color="auto" w:sz="6" w:space="0"/>
              <w:bottom w:val="single" w:color="auto" w:sz="6" w:space="0"/>
              <w:right w:val="single" w:color="auto" w:sz="6" w:space="0"/>
            </w:tcBorders>
            <w:shd w:val="clear" w:color="auto" w:fill="auto"/>
            <w:vAlign w:val="center"/>
          </w:tcPr>
          <w:p w14:paraId="6D8A1FF6">
            <w:pPr>
              <w:spacing w:line="288"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年净利润（元）</w:t>
            </w:r>
          </w:p>
        </w:tc>
      </w:tr>
      <w:tr w14:paraId="0656A511">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2CC18ABD">
            <w:pPr>
              <w:spacing w:line="288" w:lineRule="auto"/>
              <w:rPr>
                <w:rFonts w:ascii="宋体" w:hAnsi="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6CD89339">
            <w:pPr>
              <w:spacing w:line="288" w:lineRule="auto"/>
              <w:rPr>
                <w:rFonts w:ascii="宋体" w:hAnsi="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687D3409">
            <w:pPr>
              <w:spacing w:line="288" w:lineRule="auto"/>
              <w:rPr>
                <w:rFonts w:ascii="宋体" w:hAnsi="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233E5165">
            <w:pPr>
              <w:spacing w:line="288" w:lineRule="auto"/>
              <w:rPr>
                <w:rFonts w:ascii="宋体" w:hAnsi="宋体" w:cs="宋体"/>
                <w:color w:val="auto"/>
                <w:sz w:val="24"/>
                <w:szCs w:val="24"/>
                <w:highlight w:val="none"/>
              </w:rPr>
            </w:pPr>
          </w:p>
        </w:tc>
      </w:tr>
      <w:tr w14:paraId="255E30B7">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336FAF12">
            <w:pPr>
              <w:spacing w:line="288" w:lineRule="auto"/>
              <w:rPr>
                <w:rFonts w:ascii="宋体" w:hAnsi="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55E950E4">
            <w:pPr>
              <w:spacing w:line="288" w:lineRule="auto"/>
              <w:rPr>
                <w:rFonts w:ascii="宋体" w:hAnsi="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515E2F53">
            <w:pPr>
              <w:spacing w:line="288" w:lineRule="auto"/>
              <w:rPr>
                <w:rFonts w:ascii="宋体" w:hAnsi="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0B5C1EE0">
            <w:pPr>
              <w:spacing w:line="288" w:lineRule="auto"/>
              <w:rPr>
                <w:rFonts w:ascii="宋体" w:hAnsi="宋体" w:cs="宋体"/>
                <w:color w:val="auto"/>
                <w:sz w:val="24"/>
                <w:szCs w:val="24"/>
                <w:highlight w:val="none"/>
              </w:rPr>
            </w:pPr>
          </w:p>
        </w:tc>
      </w:tr>
    </w:tbl>
    <w:p w14:paraId="55D5D156">
      <w:pPr>
        <w:spacing w:before="120" w:beforeLines="50" w:after="120" w:afterLines="50" w:line="288"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备注：需提供证明资料内容详见</w:t>
      </w:r>
      <w:r>
        <w:rPr>
          <w:rFonts w:hint="eastAsia" w:ascii="宋体" w:hAnsi="宋体" w:cs="宋体"/>
          <w:color w:val="auto"/>
          <w:sz w:val="24"/>
          <w:szCs w:val="24"/>
          <w:highlight w:val="none"/>
          <w:u w:val="single"/>
        </w:rPr>
        <w:t>（评标方法）</w:t>
      </w:r>
      <w:r>
        <w:rPr>
          <w:rFonts w:hint="eastAsia" w:ascii="宋体" w:hAnsi="宋体" w:cs="宋体"/>
          <w:color w:val="auto"/>
          <w:sz w:val="24"/>
          <w:szCs w:val="24"/>
          <w:highlight w:val="none"/>
        </w:rPr>
        <w:t>。</w:t>
      </w:r>
    </w:p>
    <w:p w14:paraId="3AAF9CDE">
      <w:pPr>
        <w:spacing w:before="120" w:beforeLines="50" w:after="360" w:afterLines="150"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兹证明上述声明是真实、正确的，并提供了全部能提供的资料和数据，我方同意遵照贵方要求出示有关证明文件。</w:t>
      </w:r>
    </w:p>
    <w:tbl>
      <w:tblPr>
        <w:tblStyle w:val="43"/>
        <w:tblW w:w="8528" w:type="dxa"/>
        <w:tblInd w:w="0" w:type="dxa"/>
        <w:tblLayout w:type="fixed"/>
        <w:tblCellMar>
          <w:top w:w="0" w:type="dxa"/>
          <w:left w:w="108" w:type="dxa"/>
          <w:bottom w:w="0" w:type="dxa"/>
          <w:right w:w="108" w:type="dxa"/>
        </w:tblCellMar>
      </w:tblPr>
      <w:tblGrid>
        <w:gridCol w:w="5353"/>
        <w:gridCol w:w="3175"/>
      </w:tblGrid>
      <w:tr w14:paraId="70ADDCFA">
        <w:tblPrEx>
          <w:tblCellMar>
            <w:top w:w="0" w:type="dxa"/>
            <w:left w:w="108" w:type="dxa"/>
            <w:bottom w:w="0" w:type="dxa"/>
            <w:right w:w="108" w:type="dxa"/>
          </w:tblCellMar>
        </w:tblPrEx>
        <w:tc>
          <w:tcPr>
            <w:tcW w:w="5353" w:type="dxa"/>
            <w:shd w:val="clear" w:color="auto" w:fill="auto"/>
          </w:tcPr>
          <w:p w14:paraId="18C7F51C">
            <w:pPr>
              <w:overflowPunct w:val="0"/>
              <w:adjustRightInd w:val="0"/>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c>
          <w:tcPr>
            <w:tcW w:w="3175" w:type="dxa"/>
            <w:shd w:val="clear" w:color="auto" w:fill="auto"/>
          </w:tcPr>
          <w:p w14:paraId="51CB27A2">
            <w:pPr>
              <w:spacing w:line="288" w:lineRule="auto"/>
              <w:rPr>
                <w:rFonts w:ascii="宋体" w:hAnsi="宋体" w:cs="宋体"/>
                <w:color w:val="auto"/>
                <w:sz w:val="24"/>
                <w:szCs w:val="24"/>
                <w:highlight w:val="none"/>
              </w:rPr>
            </w:pPr>
          </w:p>
        </w:tc>
      </w:tr>
      <w:tr w14:paraId="4B41C3F7">
        <w:tblPrEx>
          <w:tblCellMar>
            <w:top w:w="0" w:type="dxa"/>
            <w:left w:w="108" w:type="dxa"/>
            <w:bottom w:w="0" w:type="dxa"/>
            <w:right w:w="108" w:type="dxa"/>
          </w:tblCellMar>
        </w:tblPrEx>
        <w:tc>
          <w:tcPr>
            <w:tcW w:w="5353" w:type="dxa"/>
            <w:shd w:val="clear" w:color="auto" w:fill="auto"/>
          </w:tcPr>
          <w:p w14:paraId="6BEFB0F0">
            <w:pPr>
              <w:spacing w:line="288" w:lineRule="auto"/>
              <w:rPr>
                <w:rFonts w:ascii="宋体" w:hAnsi="宋体" w:cs="宋体"/>
                <w:color w:val="auto"/>
                <w:sz w:val="24"/>
                <w:szCs w:val="24"/>
                <w:highlight w:val="none"/>
              </w:rPr>
            </w:pPr>
          </w:p>
          <w:p w14:paraId="5F281637">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tc>
        <w:tc>
          <w:tcPr>
            <w:tcW w:w="3175" w:type="dxa"/>
            <w:shd w:val="clear" w:color="auto" w:fill="auto"/>
          </w:tcPr>
          <w:p w14:paraId="60F7320F">
            <w:pPr>
              <w:spacing w:line="288" w:lineRule="auto"/>
              <w:rPr>
                <w:rFonts w:ascii="宋体" w:hAnsi="宋体" w:cs="宋体"/>
                <w:color w:val="auto"/>
                <w:sz w:val="24"/>
                <w:szCs w:val="24"/>
                <w:highlight w:val="none"/>
              </w:rPr>
            </w:pPr>
          </w:p>
        </w:tc>
      </w:tr>
    </w:tbl>
    <w:p w14:paraId="74C28147">
      <w:pPr>
        <w:rPr>
          <w:rFonts w:ascii="宋体" w:hAnsi="宋体" w:cs="宋体"/>
          <w:b/>
          <w:color w:val="auto"/>
          <w:spacing w:val="20"/>
          <w:sz w:val="21"/>
          <w:szCs w:val="21"/>
          <w:highlight w:val="none"/>
        </w:rPr>
      </w:pPr>
      <w:r>
        <w:rPr>
          <w:rFonts w:hint="eastAsia" w:ascii="宋体" w:hAnsi="宋体" w:cs="宋体"/>
          <w:b/>
          <w:color w:val="auto"/>
          <w:spacing w:val="20"/>
          <w:sz w:val="21"/>
          <w:szCs w:val="21"/>
          <w:highlight w:val="none"/>
        </w:rPr>
        <w:br w:type="page"/>
      </w:r>
    </w:p>
    <w:p w14:paraId="35FB8AE7">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七、</w:t>
      </w:r>
      <w:r>
        <w:rPr>
          <w:rFonts w:hint="eastAsia" w:ascii="宋体" w:hAnsi="宋体" w:cs="宋体"/>
          <w:b/>
          <w:color w:val="auto"/>
          <w:sz w:val="36"/>
          <w:szCs w:val="36"/>
          <w:highlight w:val="none"/>
          <w:lang w:val="en-US" w:eastAsia="zh-CN"/>
        </w:rPr>
        <w:t>信誉</w:t>
      </w:r>
      <w:r>
        <w:rPr>
          <w:rFonts w:hint="eastAsia" w:ascii="宋体" w:hAnsi="宋体" w:cs="宋体"/>
          <w:b/>
          <w:color w:val="auto"/>
          <w:sz w:val="36"/>
          <w:szCs w:val="36"/>
          <w:highlight w:val="none"/>
        </w:rPr>
        <w:t>承诺书</w:t>
      </w:r>
    </w:p>
    <w:p w14:paraId="73EAA5BC">
      <w:pPr>
        <w:pStyle w:val="138"/>
        <w:spacing w:line="288" w:lineRule="auto"/>
        <w:ind w:firstLine="0" w:firstLineChars="0"/>
        <w:rPr>
          <w:rFonts w:hint="eastAsia" w:ascii="宋体" w:eastAsia="宋体" w:cs="宋体"/>
          <w:color w:val="auto"/>
          <w:spacing w:val="2"/>
          <w:sz w:val="24"/>
          <w:szCs w:val="24"/>
          <w:highlight w:val="none"/>
          <w:lang w:val="en-US" w:eastAsia="zh-CN"/>
        </w:rPr>
      </w:pPr>
      <w:r>
        <w:rPr>
          <w:rFonts w:hint="eastAsia" w:ascii="宋体" w:eastAsia="宋体" w:cs="宋体"/>
          <w:color w:val="auto"/>
          <w:spacing w:val="2"/>
          <w:sz w:val="24"/>
          <w:szCs w:val="24"/>
          <w:highlight w:val="none"/>
          <w:lang w:val="en-US" w:eastAsia="zh-CN"/>
        </w:rPr>
        <w:t>格式自拟</w:t>
      </w:r>
    </w:p>
    <w:p w14:paraId="7F21D58A">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1DC059B7">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4C0D384B">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24A7A852">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5AD608D8">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6EED63B6">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763C0FF1">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042AA930">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20588397">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6C084132">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6871B629">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7C0ACE16">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0EA40DBA">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460EB11B">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74A00AE3">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61047E45">
      <w:pPr>
        <w:spacing w:line="288" w:lineRule="auto"/>
        <w:rPr>
          <w:rFonts w:ascii="宋体" w:hAnsi="宋体" w:cs="宋体"/>
          <w:color w:val="auto"/>
          <w:sz w:val="24"/>
          <w:szCs w:val="24"/>
          <w:highlight w:val="none"/>
        </w:rPr>
      </w:pPr>
    </w:p>
    <w:p w14:paraId="66E915E7">
      <w:pPr>
        <w:spacing w:line="360" w:lineRule="auto"/>
        <w:rPr>
          <w:rFonts w:ascii="宋体" w:hAnsi="宋体" w:cs="宋体"/>
          <w:color w:val="auto"/>
          <w:szCs w:val="21"/>
          <w:highlight w:val="none"/>
        </w:rPr>
      </w:pPr>
    </w:p>
    <w:p w14:paraId="566D286F">
      <w:pPr>
        <w:rPr>
          <w:rFonts w:ascii="宋体" w:hAnsi="宋体" w:cs="宋体"/>
          <w:b/>
          <w:color w:val="auto"/>
          <w:spacing w:val="20"/>
          <w:sz w:val="30"/>
          <w:szCs w:val="30"/>
          <w:highlight w:val="none"/>
        </w:rPr>
      </w:pPr>
      <w:r>
        <w:rPr>
          <w:rFonts w:hint="eastAsia" w:ascii="宋体" w:hAnsi="宋体" w:cs="宋体"/>
          <w:b/>
          <w:color w:val="auto"/>
          <w:spacing w:val="20"/>
          <w:sz w:val="30"/>
          <w:szCs w:val="30"/>
          <w:highlight w:val="none"/>
        </w:rPr>
        <w:br w:type="page"/>
      </w:r>
    </w:p>
    <w:p w14:paraId="000B39E9">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八、商务偏离表</w:t>
      </w:r>
    </w:p>
    <w:tbl>
      <w:tblPr>
        <w:tblStyle w:val="43"/>
        <w:tblW w:w="9262"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567"/>
        <w:gridCol w:w="2700"/>
        <w:gridCol w:w="1409"/>
        <w:gridCol w:w="1858"/>
      </w:tblGrid>
      <w:tr w14:paraId="49FD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262" w:type="dxa"/>
            <w:gridSpan w:val="5"/>
            <w:vAlign w:val="center"/>
          </w:tcPr>
          <w:p w14:paraId="6F3D2139">
            <w:pPr>
              <w:spacing w:line="288"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项目名称：                              </w:t>
            </w:r>
            <w:r>
              <w:rPr>
                <w:rFonts w:hint="eastAsia" w:ascii="宋体" w:hAnsi="宋体" w:cs="宋体"/>
                <w:b/>
                <w:color w:val="auto"/>
                <w:sz w:val="24"/>
                <w:szCs w:val="24"/>
                <w:highlight w:val="none"/>
              </w:rPr>
              <w:t>项目编号：</w:t>
            </w:r>
          </w:p>
        </w:tc>
      </w:tr>
      <w:tr w14:paraId="6711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8" w:type="dxa"/>
            <w:vAlign w:val="center"/>
          </w:tcPr>
          <w:p w14:paraId="54644C55">
            <w:pPr>
              <w:spacing w:line="288"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2567" w:type="dxa"/>
            <w:vAlign w:val="center"/>
          </w:tcPr>
          <w:p w14:paraId="0F243879">
            <w:pPr>
              <w:spacing w:line="288"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招标文件要求</w:t>
            </w:r>
          </w:p>
        </w:tc>
        <w:tc>
          <w:tcPr>
            <w:tcW w:w="2700" w:type="dxa"/>
            <w:vAlign w:val="center"/>
          </w:tcPr>
          <w:p w14:paraId="51CD6B7C">
            <w:pPr>
              <w:spacing w:line="288"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投标文件响应内容</w:t>
            </w:r>
          </w:p>
        </w:tc>
        <w:tc>
          <w:tcPr>
            <w:tcW w:w="1409" w:type="dxa"/>
            <w:vAlign w:val="center"/>
          </w:tcPr>
          <w:p w14:paraId="410E91F1">
            <w:pPr>
              <w:spacing w:line="288"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偏离情况</w:t>
            </w:r>
          </w:p>
        </w:tc>
        <w:tc>
          <w:tcPr>
            <w:tcW w:w="1858" w:type="dxa"/>
            <w:vAlign w:val="center"/>
          </w:tcPr>
          <w:p w14:paraId="730EF7FE">
            <w:pPr>
              <w:spacing w:line="288"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说明</w:t>
            </w:r>
          </w:p>
        </w:tc>
      </w:tr>
      <w:tr w14:paraId="4E52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8" w:type="dxa"/>
            <w:vAlign w:val="center"/>
          </w:tcPr>
          <w:p w14:paraId="2DD37A79">
            <w:pPr>
              <w:spacing w:line="288" w:lineRule="auto"/>
              <w:jc w:val="center"/>
              <w:rPr>
                <w:rFonts w:ascii="宋体" w:hAnsi="宋体" w:cs="宋体"/>
                <w:color w:val="auto"/>
                <w:sz w:val="24"/>
                <w:szCs w:val="24"/>
                <w:highlight w:val="none"/>
              </w:rPr>
            </w:pPr>
          </w:p>
        </w:tc>
        <w:tc>
          <w:tcPr>
            <w:tcW w:w="2567" w:type="dxa"/>
            <w:vAlign w:val="center"/>
          </w:tcPr>
          <w:p w14:paraId="08D9F199">
            <w:pPr>
              <w:spacing w:line="288" w:lineRule="auto"/>
              <w:jc w:val="center"/>
              <w:rPr>
                <w:rFonts w:ascii="宋体" w:hAnsi="宋体" w:cs="宋体"/>
                <w:color w:val="auto"/>
                <w:sz w:val="24"/>
                <w:szCs w:val="24"/>
                <w:highlight w:val="none"/>
              </w:rPr>
            </w:pPr>
          </w:p>
        </w:tc>
        <w:tc>
          <w:tcPr>
            <w:tcW w:w="2700" w:type="dxa"/>
            <w:vAlign w:val="center"/>
          </w:tcPr>
          <w:p w14:paraId="60A6FE54">
            <w:pPr>
              <w:pStyle w:val="29"/>
              <w:spacing w:line="288" w:lineRule="auto"/>
              <w:jc w:val="center"/>
              <w:rPr>
                <w:rFonts w:ascii="宋体" w:hAnsi="宋体" w:cs="宋体"/>
                <w:color w:val="auto"/>
                <w:sz w:val="24"/>
                <w:szCs w:val="24"/>
                <w:highlight w:val="none"/>
              </w:rPr>
            </w:pPr>
          </w:p>
        </w:tc>
        <w:tc>
          <w:tcPr>
            <w:tcW w:w="1409" w:type="dxa"/>
            <w:vAlign w:val="center"/>
          </w:tcPr>
          <w:p w14:paraId="33C7F5EF">
            <w:pPr>
              <w:spacing w:line="288" w:lineRule="auto"/>
              <w:jc w:val="center"/>
              <w:rPr>
                <w:rFonts w:ascii="宋体" w:hAnsi="宋体" w:cs="宋体"/>
                <w:color w:val="auto"/>
                <w:sz w:val="24"/>
                <w:szCs w:val="24"/>
                <w:highlight w:val="none"/>
              </w:rPr>
            </w:pPr>
          </w:p>
        </w:tc>
        <w:tc>
          <w:tcPr>
            <w:tcW w:w="1858" w:type="dxa"/>
            <w:vAlign w:val="center"/>
          </w:tcPr>
          <w:p w14:paraId="569C19B3">
            <w:pPr>
              <w:spacing w:line="288" w:lineRule="auto"/>
              <w:jc w:val="center"/>
              <w:rPr>
                <w:rFonts w:ascii="宋体" w:hAnsi="宋体" w:cs="宋体"/>
                <w:color w:val="auto"/>
                <w:sz w:val="24"/>
                <w:szCs w:val="24"/>
                <w:highlight w:val="none"/>
              </w:rPr>
            </w:pPr>
          </w:p>
        </w:tc>
      </w:tr>
      <w:tr w14:paraId="5217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8" w:type="dxa"/>
            <w:vAlign w:val="center"/>
          </w:tcPr>
          <w:p w14:paraId="4D04E839">
            <w:pPr>
              <w:spacing w:line="288" w:lineRule="auto"/>
              <w:jc w:val="center"/>
              <w:rPr>
                <w:rFonts w:ascii="宋体" w:hAnsi="宋体" w:cs="宋体"/>
                <w:color w:val="auto"/>
                <w:sz w:val="24"/>
                <w:szCs w:val="24"/>
                <w:highlight w:val="none"/>
              </w:rPr>
            </w:pPr>
          </w:p>
        </w:tc>
        <w:tc>
          <w:tcPr>
            <w:tcW w:w="2567" w:type="dxa"/>
            <w:vAlign w:val="center"/>
          </w:tcPr>
          <w:p w14:paraId="7FF5591F">
            <w:pPr>
              <w:spacing w:line="288" w:lineRule="auto"/>
              <w:jc w:val="center"/>
              <w:rPr>
                <w:rFonts w:ascii="宋体" w:hAnsi="宋体" w:cs="宋体"/>
                <w:color w:val="auto"/>
                <w:sz w:val="24"/>
                <w:szCs w:val="24"/>
                <w:highlight w:val="none"/>
              </w:rPr>
            </w:pPr>
          </w:p>
        </w:tc>
        <w:tc>
          <w:tcPr>
            <w:tcW w:w="2700" w:type="dxa"/>
            <w:vAlign w:val="center"/>
          </w:tcPr>
          <w:p w14:paraId="1A8AD649">
            <w:pPr>
              <w:spacing w:line="288" w:lineRule="auto"/>
              <w:jc w:val="center"/>
              <w:rPr>
                <w:rFonts w:ascii="宋体" w:hAnsi="宋体" w:cs="宋体"/>
                <w:color w:val="auto"/>
                <w:sz w:val="24"/>
                <w:szCs w:val="24"/>
                <w:highlight w:val="none"/>
              </w:rPr>
            </w:pPr>
          </w:p>
        </w:tc>
        <w:tc>
          <w:tcPr>
            <w:tcW w:w="1409" w:type="dxa"/>
            <w:vAlign w:val="center"/>
          </w:tcPr>
          <w:p w14:paraId="664C9B45">
            <w:pPr>
              <w:spacing w:line="288" w:lineRule="auto"/>
              <w:jc w:val="center"/>
              <w:rPr>
                <w:rFonts w:ascii="宋体" w:hAnsi="宋体" w:cs="宋体"/>
                <w:color w:val="auto"/>
                <w:sz w:val="24"/>
                <w:szCs w:val="24"/>
                <w:highlight w:val="none"/>
              </w:rPr>
            </w:pPr>
          </w:p>
        </w:tc>
        <w:tc>
          <w:tcPr>
            <w:tcW w:w="1858" w:type="dxa"/>
            <w:vAlign w:val="center"/>
          </w:tcPr>
          <w:p w14:paraId="4AEDAB28">
            <w:pPr>
              <w:spacing w:line="288" w:lineRule="auto"/>
              <w:jc w:val="center"/>
              <w:rPr>
                <w:rFonts w:ascii="宋体" w:hAnsi="宋体" w:cs="宋体"/>
                <w:color w:val="auto"/>
                <w:sz w:val="24"/>
                <w:szCs w:val="24"/>
                <w:highlight w:val="none"/>
              </w:rPr>
            </w:pPr>
          </w:p>
        </w:tc>
      </w:tr>
      <w:tr w14:paraId="71FF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28" w:type="dxa"/>
            <w:vAlign w:val="center"/>
          </w:tcPr>
          <w:p w14:paraId="24A7AB82">
            <w:pPr>
              <w:spacing w:line="288" w:lineRule="auto"/>
              <w:jc w:val="center"/>
              <w:rPr>
                <w:rFonts w:ascii="宋体" w:hAnsi="宋体" w:cs="宋体"/>
                <w:color w:val="auto"/>
                <w:sz w:val="24"/>
                <w:szCs w:val="24"/>
                <w:highlight w:val="none"/>
              </w:rPr>
            </w:pPr>
          </w:p>
        </w:tc>
        <w:tc>
          <w:tcPr>
            <w:tcW w:w="2567" w:type="dxa"/>
            <w:vAlign w:val="center"/>
          </w:tcPr>
          <w:p w14:paraId="536A16FD">
            <w:pPr>
              <w:spacing w:line="288" w:lineRule="auto"/>
              <w:jc w:val="center"/>
              <w:rPr>
                <w:rFonts w:ascii="宋体" w:hAnsi="宋体" w:cs="宋体"/>
                <w:color w:val="auto"/>
                <w:sz w:val="24"/>
                <w:szCs w:val="24"/>
                <w:highlight w:val="none"/>
              </w:rPr>
            </w:pPr>
          </w:p>
        </w:tc>
        <w:tc>
          <w:tcPr>
            <w:tcW w:w="2700" w:type="dxa"/>
            <w:vAlign w:val="center"/>
          </w:tcPr>
          <w:p w14:paraId="718256D4">
            <w:pPr>
              <w:spacing w:line="288" w:lineRule="auto"/>
              <w:jc w:val="center"/>
              <w:rPr>
                <w:rFonts w:ascii="宋体" w:hAnsi="宋体" w:cs="宋体"/>
                <w:color w:val="auto"/>
                <w:sz w:val="24"/>
                <w:szCs w:val="24"/>
                <w:highlight w:val="none"/>
              </w:rPr>
            </w:pPr>
          </w:p>
        </w:tc>
        <w:tc>
          <w:tcPr>
            <w:tcW w:w="1409" w:type="dxa"/>
            <w:vAlign w:val="center"/>
          </w:tcPr>
          <w:p w14:paraId="20FF6DFE">
            <w:pPr>
              <w:spacing w:line="288" w:lineRule="auto"/>
              <w:jc w:val="center"/>
              <w:rPr>
                <w:rFonts w:ascii="宋体" w:hAnsi="宋体" w:cs="宋体"/>
                <w:color w:val="auto"/>
                <w:sz w:val="24"/>
                <w:szCs w:val="24"/>
                <w:highlight w:val="none"/>
              </w:rPr>
            </w:pPr>
          </w:p>
        </w:tc>
        <w:tc>
          <w:tcPr>
            <w:tcW w:w="1858" w:type="dxa"/>
            <w:vAlign w:val="center"/>
          </w:tcPr>
          <w:p w14:paraId="55F8F156">
            <w:pPr>
              <w:spacing w:line="288" w:lineRule="auto"/>
              <w:jc w:val="center"/>
              <w:rPr>
                <w:rFonts w:ascii="宋体" w:hAnsi="宋体" w:cs="宋体"/>
                <w:color w:val="auto"/>
                <w:sz w:val="24"/>
                <w:szCs w:val="24"/>
                <w:highlight w:val="none"/>
              </w:rPr>
            </w:pPr>
          </w:p>
        </w:tc>
      </w:tr>
      <w:tr w14:paraId="33C8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8" w:type="dxa"/>
            <w:vAlign w:val="center"/>
          </w:tcPr>
          <w:p w14:paraId="3D23B694">
            <w:pPr>
              <w:spacing w:line="288" w:lineRule="auto"/>
              <w:jc w:val="center"/>
              <w:rPr>
                <w:rFonts w:ascii="宋体" w:hAnsi="宋体" w:cs="宋体"/>
                <w:color w:val="auto"/>
                <w:sz w:val="24"/>
                <w:szCs w:val="24"/>
                <w:highlight w:val="none"/>
              </w:rPr>
            </w:pPr>
          </w:p>
        </w:tc>
        <w:tc>
          <w:tcPr>
            <w:tcW w:w="2567" w:type="dxa"/>
            <w:vAlign w:val="center"/>
          </w:tcPr>
          <w:p w14:paraId="5E3EBCD1">
            <w:pPr>
              <w:spacing w:line="288" w:lineRule="auto"/>
              <w:jc w:val="center"/>
              <w:rPr>
                <w:rFonts w:ascii="宋体" w:hAnsi="宋体" w:cs="宋体"/>
                <w:color w:val="auto"/>
                <w:sz w:val="24"/>
                <w:szCs w:val="24"/>
                <w:highlight w:val="none"/>
              </w:rPr>
            </w:pPr>
          </w:p>
        </w:tc>
        <w:tc>
          <w:tcPr>
            <w:tcW w:w="2700" w:type="dxa"/>
            <w:vAlign w:val="center"/>
          </w:tcPr>
          <w:p w14:paraId="00879D5F">
            <w:pPr>
              <w:spacing w:line="288" w:lineRule="auto"/>
              <w:jc w:val="center"/>
              <w:rPr>
                <w:rFonts w:ascii="宋体" w:hAnsi="宋体" w:cs="宋体"/>
                <w:color w:val="auto"/>
                <w:sz w:val="24"/>
                <w:szCs w:val="24"/>
                <w:highlight w:val="none"/>
              </w:rPr>
            </w:pPr>
          </w:p>
        </w:tc>
        <w:tc>
          <w:tcPr>
            <w:tcW w:w="1409" w:type="dxa"/>
            <w:vAlign w:val="center"/>
          </w:tcPr>
          <w:p w14:paraId="4753BFD5">
            <w:pPr>
              <w:spacing w:line="288" w:lineRule="auto"/>
              <w:jc w:val="center"/>
              <w:rPr>
                <w:rFonts w:ascii="宋体" w:hAnsi="宋体" w:cs="宋体"/>
                <w:color w:val="auto"/>
                <w:sz w:val="24"/>
                <w:szCs w:val="24"/>
                <w:highlight w:val="none"/>
              </w:rPr>
            </w:pPr>
          </w:p>
        </w:tc>
        <w:tc>
          <w:tcPr>
            <w:tcW w:w="1858" w:type="dxa"/>
            <w:vAlign w:val="center"/>
          </w:tcPr>
          <w:p w14:paraId="59340147">
            <w:pPr>
              <w:spacing w:line="288" w:lineRule="auto"/>
              <w:jc w:val="center"/>
              <w:rPr>
                <w:rFonts w:ascii="宋体" w:hAnsi="宋体" w:cs="宋体"/>
                <w:color w:val="auto"/>
                <w:sz w:val="24"/>
                <w:szCs w:val="24"/>
                <w:highlight w:val="none"/>
              </w:rPr>
            </w:pPr>
          </w:p>
        </w:tc>
      </w:tr>
      <w:tr w14:paraId="191C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8" w:type="dxa"/>
            <w:vAlign w:val="center"/>
          </w:tcPr>
          <w:p w14:paraId="501F9E08">
            <w:pPr>
              <w:spacing w:line="288" w:lineRule="auto"/>
              <w:jc w:val="center"/>
              <w:rPr>
                <w:rFonts w:ascii="宋体" w:hAnsi="宋体" w:cs="宋体"/>
                <w:color w:val="auto"/>
                <w:sz w:val="24"/>
                <w:szCs w:val="24"/>
                <w:highlight w:val="none"/>
              </w:rPr>
            </w:pPr>
          </w:p>
        </w:tc>
        <w:tc>
          <w:tcPr>
            <w:tcW w:w="2567" w:type="dxa"/>
            <w:vAlign w:val="center"/>
          </w:tcPr>
          <w:p w14:paraId="4975D974">
            <w:pPr>
              <w:spacing w:line="288" w:lineRule="auto"/>
              <w:jc w:val="center"/>
              <w:rPr>
                <w:rFonts w:ascii="宋体" w:hAnsi="宋体" w:cs="宋体"/>
                <w:color w:val="auto"/>
                <w:sz w:val="24"/>
                <w:szCs w:val="24"/>
                <w:highlight w:val="none"/>
              </w:rPr>
            </w:pPr>
          </w:p>
        </w:tc>
        <w:tc>
          <w:tcPr>
            <w:tcW w:w="2700" w:type="dxa"/>
            <w:vAlign w:val="center"/>
          </w:tcPr>
          <w:p w14:paraId="5EAC5315">
            <w:pPr>
              <w:spacing w:line="288" w:lineRule="auto"/>
              <w:jc w:val="center"/>
              <w:rPr>
                <w:rFonts w:ascii="宋体" w:hAnsi="宋体" w:cs="宋体"/>
                <w:color w:val="auto"/>
                <w:sz w:val="24"/>
                <w:szCs w:val="24"/>
                <w:highlight w:val="none"/>
              </w:rPr>
            </w:pPr>
          </w:p>
        </w:tc>
        <w:tc>
          <w:tcPr>
            <w:tcW w:w="1409" w:type="dxa"/>
            <w:vAlign w:val="center"/>
          </w:tcPr>
          <w:p w14:paraId="14C6DCCF">
            <w:pPr>
              <w:spacing w:line="288" w:lineRule="auto"/>
              <w:jc w:val="center"/>
              <w:rPr>
                <w:rFonts w:ascii="宋体" w:hAnsi="宋体" w:cs="宋体"/>
                <w:color w:val="auto"/>
                <w:sz w:val="24"/>
                <w:szCs w:val="24"/>
                <w:highlight w:val="none"/>
              </w:rPr>
            </w:pPr>
          </w:p>
        </w:tc>
        <w:tc>
          <w:tcPr>
            <w:tcW w:w="1858" w:type="dxa"/>
            <w:vAlign w:val="center"/>
          </w:tcPr>
          <w:p w14:paraId="7E217A2B">
            <w:pPr>
              <w:spacing w:line="288" w:lineRule="auto"/>
              <w:jc w:val="center"/>
              <w:rPr>
                <w:rFonts w:ascii="宋体" w:hAnsi="宋体" w:cs="宋体"/>
                <w:color w:val="auto"/>
                <w:sz w:val="24"/>
                <w:szCs w:val="24"/>
                <w:highlight w:val="none"/>
              </w:rPr>
            </w:pPr>
          </w:p>
        </w:tc>
      </w:tr>
      <w:tr w14:paraId="232D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8" w:type="dxa"/>
            <w:vAlign w:val="center"/>
          </w:tcPr>
          <w:p w14:paraId="7C1411EB">
            <w:pPr>
              <w:spacing w:line="288" w:lineRule="auto"/>
              <w:jc w:val="center"/>
              <w:rPr>
                <w:rFonts w:ascii="宋体" w:hAnsi="宋体" w:cs="宋体"/>
                <w:color w:val="auto"/>
                <w:sz w:val="24"/>
                <w:szCs w:val="24"/>
                <w:highlight w:val="none"/>
              </w:rPr>
            </w:pPr>
          </w:p>
        </w:tc>
        <w:tc>
          <w:tcPr>
            <w:tcW w:w="2567" w:type="dxa"/>
            <w:vAlign w:val="center"/>
          </w:tcPr>
          <w:p w14:paraId="4184779D">
            <w:pPr>
              <w:spacing w:line="288" w:lineRule="auto"/>
              <w:jc w:val="center"/>
              <w:rPr>
                <w:rFonts w:ascii="宋体" w:hAnsi="宋体" w:cs="宋体"/>
                <w:color w:val="auto"/>
                <w:sz w:val="24"/>
                <w:szCs w:val="24"/>
                <w:highlight w:val="none"/>
              </w:rPr>
            </w:pPr>
          </w:p>
        </w:tc>
        <w:tc>
          <w:tcPr>
            <w:tcW w:w="2700" w:type="dxa"/>
            <w:vAlign w:val="center"/>
          </w:tcPr>
          <w:p w14:paraId="54611FC9">
            <w:pPr>
              <w:spacing w:line="288" w:lineRule="auto"/>
              <w:jc w:val="center"/>
              <w:rPr>
                <w:rFonts w:ascii="宋体" w:hAnsi="宋体" w:cs="宋体"/>
                <w:color w:val="auto"/>
                <w:sz w:val="24"/>
                <w:szCs w:val="24"/>
                <w:highlight w:val="none"/>
              </w:rPr>
            </w:pPr>
          </w:p>
        </w:tc>
        <w:tc>
          <w:tcPr>
            <w:tcW w:w="1409" w:type="dxa"/>
            <w:vAlign w:val="center"/>
          </w:tcPr>
          <w:p w14:paraId="26F40214">
            <w:pPr>
              <w:spacing w:line="288" w:lineRule="auto"/>
              <w:jc w:val="center"/>
              <w:rPr>
                <w:rFonts w:ascii="宋体" w:hAnsi="宋体" w:cs="宋体"/>
                <w:color w:val="auto"/>
                <w:sz w:val="24"/>
                <w:szCs w:val="24"/>
                <w:highlight w:val="none"/>
              </w:rPr>
            </w:pPr>
          </w:p>
        </w:tc>
        <w:tc>
          <w:tcPr>
            <w:tcW w:w="1858" w:type="dxa"/>
            <w:vAlign w:val="center"/>
          </w:tcPr>
          <w:p w14:paraId="2B0E8829">
            <w:pPr>
              <w:spacing w:line="288" w:lineRule="auto"/>
              <w:jc w:val="center"/>
              <w:rPr>
                <w:rFonts w:ascii="宋体" w:hAnsi="宋体" w:cs="宋体"/>
                <w:color w:val="auto"/>
                <w:sz w:val="24"/>
                <w:szCs w:val="24"/>
                <w:highlight w:val="none"/>
              </w:rPr>
            </w:pPr>
          </w:p>
        </w:tc>
      </w:tr>
    </w:tbl>
    <w:p w14:paraId="2B6802A6">
      <w:pPr>
        <w:spacing w:before="120" w:beforeLines="50" w:line="288" w:lineRule="auto"/>
        <w:rPr>
          <w:rFonts w:ascii="宋体" w:hAnsi="宋体" w:cs="宋体"/>
          <w:color w:val="auto"/>
          <w:sz w:val="24"/>
          <w:szCs w:val="24"/>
          <w:highlight w:val="none"/>
        </w:rPr>
      </w:pPr>
      <w:r>
        <w:rPr>
          <w:rFonts w:hint="eastAsia" w:ascii="宋体" w:hAnsi="宋体" w:cs="宋体"/>
          <w:color w:val="auto"/>
          <w:sz w:val="24"/>
          <w:szCs w:val="24"/>
          <w:highlight w:val="none"/>
        </w:rPr>
        <w:t>注明：</w:t>
      </w:r>
    </w:p>
    <w:p w14:paraId="2D7D5861">
      <w:pPr>
        <w:pStyle w:val="96"/>
        <w:numPr>
          <w:ilvl w:val="0"/>
          <w:numId w:val="6"/>
        </w:numPr>
        <w:spacing w:line="288" w:lineRule="auto"/>
        <w:ind w:firstLineChars="0"/>
        <w:rPr>
          <w:rFonts w:ascii="宋体" w:hAnsi="宋体" w:cs="宋体"/>
          <w:color w:val="auto"/>
          <w:sz w:val="24"/>
          <w:szCs w:val="24"/>
          <w:highlight w:val="none"/>
        </w:rPr>
      </w:pPr>
      <w:r>
        <w:rPr>
          <w:rFonts w:hint="eastAsia" w:ascii="宋体" w:hAnsi="宋体" w:cs="宋体"/>
          <w:bCs/>
          <w:color w:val="auto"/>
          <w:sz w:val="24"/>
          <w:szCs w:val="24"/>
          <w:highlight w:val="none"/>
        </w:rPr>
        <w:t>偏离情况项填写“正”、“负”或“无”，说明项中填写原因。</w:t>
      </w:r>
    </w:p>
    <w:p w14:paraId="5A6DDBF3">
      <w:pPr>
        <w:pStyle w:val="96"/>
        <w:numPr>
          <w:ilvl w:val="0"/>
          <w:numId w:val="6"/>
        </w:numPr>
        <w:spacing w:line="288" w:lineRule="auto"/>
        <w:ind w:firstLineChars="0"/>
        <w:rPr>
          <w:rFonts w:ascii="宋体" w:hAnsi="宋体" w:cs="宋体"/>
          <w:bCs/>
          <w:color w:val="auto"/>
          <w:sz w:val="24"/>
          <w:szCs w:val="24"/>
          <w:highlight w:val="none"/>
        </w:rPr>
      </w:pPr>
      <w:r>
        <w:rPr>
          <w:rFonts w:hint="eastAsia" w:ascii="宋体" w:hAnsi="宋体" w:cs="宋体"/>
          <w:bCs/>
          <w:color w:val="auto"/>
          <w:sz w:val="24"/>
          <w:szCs w:val="24"/>
          <w:highlight w:val="none"/>
        </w:rPr>
        <w:t>供应商应按照招标文件要求，对响应有偏离的，则说明偏离的内容，若有要求提供相关证明资料的，须按要求提供，否则视为负偏离。</w:t>
      </w:r>
    </w:p>
    <w:p w14:paraId="6A878B56">
      <w:pPr>
        <w:spacing w:line="288" w:lineRule="auto"/>
        <w:rPr>
          <w:rFonts w:ascii="宋体" w:hAnsi="宋体" w:cs="宋体"/>
          <w:color w:val="auto"/>
          <w:sz w:val="24"/>
          <w:szCs w:val="24"/>
          <w:highlight w:val="none"/>
        </w:rPr>
      </w:pPr>
    </w:p>
    <w:p w14:paraId="38A264AA">
      <w:pPr>
        <w:spacing w:line="288" w:lineRule="auto"/>
        <w:rPr>
          <w:rFonts w:ascii="宋体" w:hAnsi="宋体" w:cs="宋体"/>
          <w:color w:val="auto"/>
          <w:sz w:val="24"/>
          <w:szCs w:val="24"/>
          <w:highlight w:val="none"/>
        </w:rPr>
      </w:pPr>
    </w:p>
    <w:p w14:paraId="13494173">
      <w:pPr>
        <w:spacing w:line="288" w:lineRule="auto"/>
        <w:rPr>
          <w:rFonts w:ascii="宋体" w:hAnsi="宋体" w:cs="宋体"/>
          <w:color w:val="auto"/>
          <w:sz w:val="24"/>
          <w:szCs w:val="24"/>
          <w:highlight w:val="none"/>
        </w:rPr>
      </w:pPr>
    </w:p>
    <w:tbl>
      <w:tblPr>
        <w:tblStyle w:val="43"/>
        <w:tblW w:w="8528" w:type="dxa"/>
        <w:tblInd w:w="0" w:type="dxa"/>
        <w:tblLayout w:type="fixed"/>
        <w:tblCellMar>
          <w:top w:w="0" w:type="dxa"/>
          <w:left w:w="108" w:type="dxa"/>
          <w:bottom w:w="0" w:type="dxa"/>
          <w:right w:w="108" w:type="dxa"/>
        </w:tblCellMar>
      </w:tblPr>
      <w:tblGrid>
        <w:gridCol w:w="5353"/>
        <w:gridCol w:w="3175"/>
      </w:tblGrid>
      <w:tr w14:paraId="3F9745A1">
        <w:tblPrEx>
          <w:tblCellMar>
            <w:top w:w="0" w:type="dxa"/>
            <w:left w:w="108" w:type="dxa"/>
            <w:bottom w:w="0" w:type="dxa"/>
            <w:right w:w="108" w:type="dxa"/>
          </w:tblCellMar>
        </w:tblPrEx>
        <w:tc>
          <w:tcPr>
            <w:tcW w:w="5353" w:type="dxa"/>
            <w:shd w:val="clear" w:color="auto" w:fill="auto"/>
          </w:tcPr>
          <w:p w14:paraId="2018FF48">
            <w:pPr>
              <w:overflowPunct w:val="0"/>
              <w:adjustRightInd w:val="0"/>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c>
          <w:tcPr>
            <w:tcW w:w="3175" w:type="dxa"/>
            <w:shd w:val="clear" w:color="auto" w:fill="auto"/>
          </w:tcPr>
          <w:p w14:paraId="014FC33E">
            <w:pPr>
              <w:spacing w:line="288" w:lineRule="auto"/>
              <w:rPr>
                <w:rFonts w:ascii="宋体" w:hAnsi="宋体" w:cs="宋体"/>
                <w:color w:val="auto"/>
                <w:sz w:val="24"/>
                <w:szCs w:val="24"/>
                <w:highlight w:val="none"/>
              </w:rPr>
            </w:pPr>
          </w:p>
        </w:tc>
      </w:tr>
      <w:tr w14:paraId="396FDB57">
        <w:tblPrEx>
          <w:tblCellMar>
            <w:top w:w="0" w:type="dxa"/>
            <w:left w:w="108" w:type="dxa"/>
            <w:bottom w:w="0" w:type="dxa"/>
            <w:right w:w="108" w:type="dxa"/>
          </w:tblCellMar>
        </w:tblPrEx>
        <w:tc>
          <w:tcPr>
            <w:tcW w:w="5353" w:type="dxa"/>
            <w:shd w:val="clear" w:color="auto" w:fill="auto"/>
          </w:tcPr>
          <w:p w14:paraId="589C27CB">
            <w:pPr>
              <w:spacing w:line="288" w:lineRule="auto"/>
              <w:rPr>
                <w:rFonts w:ascii="宋体" w:hAnsi="宋体" w:cs="宋体"/>
                <w:color w:val="auto"/>
                <w:sz w:val="24"/>
                <w:szCs w:val="24"/>
                <w:highlight w:val="none"/>
              </w:rPr>
            </w:pPr>
          </w:p>
          <w:p w14:paraId="552B9FAE">
            <w:pPr>
              <w:spacing w:line="288" w:lineRule="auto"/>
              <w:rPr>
                <w:rFonts w:ascii="宋体" w:hAnsi="宋体" w:cs="宋体"/>
                <w:color w:val="auto"/>
                <w:sz w:val="24"/>
                <w:szCs w:val="24"/>
                <w:highlight w:val="none"/>
              </w:rPr>
            </w:pPr>
          </w:p>
          <w:p w14:paraId="05AE4304">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tc>
        <w:tc>
          <w:tcPr>
            <w:tcW w:w="3175" w:type="dxa"/>
            <w:shd w:val="clear" w:color="auto" w:fill="auto"/>
          </w:tcPr>
          <w:p w14:paraId="56DB9FD3">
            <w:pPr>
              <w:spacing w:line="288" w:lineRule="auto"/>
              <w:rPr>
                <w:rFonts w:ascii="宋体" w:hAnsi="宋体" w:cs="宋体"/>
                <w:color w:val="auto"/>
                <w:sz w:val="24"/>
                <w:szCs w:val="24"/>
                <w:highlight w:val="none"/>
              </w:rPr>
            </w:pPr>
          </w:p>
        </w:tc>
      </w:tr>
    </w:tbl>
    <w:p w14:paraId="5E65FE98">
      <w:pPr>
        <w:spacing w:line="360" w:lineRule="auto"/>
        <w:rPr>
          <w:rFonts w:ascii="宋体" w:hAnsi="宋体" w:cs="宋体"/>
          <w:color w:val="auto"/>
          <w:sz w:val="21"/>
          <w:szCs w:val="21"/>
          <w:highlight w:val="none"/>
        </w:rPr>
      </w:pPr>
    </w:p>
    <w:p w14:paraId="59554F69">
      <w:pPr>
        <w:rPr>
          <w:rFonts w:ascii="宋体" w:hAnsi="宋体" w:cs="宋体"/>
          <w:b/>
          <w:color w:val="auto"/>
          <w:spacing w:val="20"/>
          <w:sz w:val="30"/>
          <w:szCs w:val="30"/>
          <w:highlight w:val="none"/>
        </w:rPr>
      </w:pPr>
      <w:r>
        <w:rPr>
          <w:rFonts w:hint="eastAsia" w:ascii="宋体" w:hAnsi="宋体" w:cs="宋体"/>
          <w:b/>
          <w:color w:val="auto"/>
          <w:spacing w:val="20"/>
          <w:sz w:val="30"/>
          <w:szCs w:val="30"/>
          <w:highlight w:val="none"/>
        </w:rPr>
        <w:br w:type="page"/>
      </w:r>
    </w:p>
    <w:p w14:paraId="12AFF80E">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九、企业业绩表</w:t>
      </w:r>
    </w:p>
    <w:tbl>
      <w:tblPr>
        <w:tblStyle w:val="43"/>
        <w:tblW w:w="907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094"/>
        <w:gridCol w:w="1562"/>
        <w:gridCol w:w="1557"/>
        <w:gridCol w:w="1842"/>
        <w:gridCol w:w="1288"/>
      </w:tblGrid>
      <w:tr w14:paraId="426A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71" w:type="dxa"/>
            <w:gridSpan w:val="6"/>
            <w:vAlign w:val="center"/>
          </w:tcPr>
          <w:p w14:paraId="7F372F18">
            <w:pPr>
              <w:spacing w:before="156" w:after="156" w:line="288"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项目名称：                          </w:t>
            </w:r>
            <w:r>
              <w:rPr>
                <w:rFonts w:hint="eastAsia" w:ascii="宋体" w:hAnsi="宋体" w:cs="宋体"/>
                <w:b/>
                <w:color w:val="auto"/>
                <w:sz w:val="24"/>
                <w:szCs w:val="24"/>
                <w:highlight w:val="none"/>
              </w:rPr>
              <w:t>项目编号：</w:t>
            </w:r>
          </w:p>
        </w:tc>
      </w:tr>
      <w:tr w14:paraId="575B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28" w:type="dxa"/>
            <w:vAlign w:val="center"/>
          </w:tcPr>
          <w:p w14:paraId="7772BEA1">
            <w:pPr>
              <w:spacing w:before="156" w:after="156" w:line="288"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2094" w:type="dxa"/>
            <w:vAlign w:val="center"/>
          </w:tcPr>
          <w:p w14:paraId="17930A11">
            <w:pPr>
              <w:spacing w:before="156" w:after="156" w:line="288"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项目名称</w:t>
            </w:r>
          </w:p>
        </w:tc>
        <w:tc>
          <w:tcPr>
            <w:tcW w:w="1562" w:type="dxa"/>
            <w:vAlign w:val="center"/>
          </w:tcPr>
          <w:p w14:paraId="56EDE209">
            <w:pPr>
              <w:spacing w:before="156" w:after="156" w:line="288"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合同金额</w:t>
            </w:r>
          </w:p>
        </w:tc>
        <w:tc>
          <w:tcPr>
            <w:tcW w:w="1557" w:type="dxa"/>
            <w:vAlign w:val="center"/>
          </w:tcPr>
          <w:p w14:paraId="46C7252A">
            <w:pPr>
              <w:spacing w:before="156" w:after="156" w:line="288"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签约时间</w:t>
            </w:r>
          </w:p>
        </w:tc>
        <w:tc>
          <w:tcPr>
            <w:tcW w:w="1842" w:type="dxa"/>
            <w:vAlign w:val="center"/>
          </w:tcPr>
          <w:p w14:paraId="37E62144">
            <w:pPr>
              <w:spacing w:before="156" w:after="156" w:line="288"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完成情况</w:t>
            </w:r>
          </w:p>
        </w:tc>
        <w:tc>
          <w:tcPr>
            <w:tcW w:w="1288" w:type="dxa"/>
            <w:vAlign w:val="center"/>
          </w:tcPr>
          <w:p w14:paraId="37E8CA79">
            <w:pPr>
              <w:spacing w:before="156" w:after="156" w:line="288"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4C88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2F36084E">
            <w:pPr>
              <w:spacing w:before="156" w:after="156" w:line="288" w:lineRule="auto"/>
              <w:jc w:val="center"/>
              <w:rPr>
                <w:rFonts w:ascii="宋体" w:hAnsi="宋体" w:cs="宋体"/>
                <w:color w:val="auto"/>
                <w:sz w:val="24"/>
                <w:szCs w:val="24"/>
                <w:highlight w:val="none"/>
              </w:rPr>
            </w:pPr>
          </w:p>
        </w:tc>
        <w:tc>
          <w:tcPr>
            <w:tcW w:w="2094" w:type="dxa"/>
            <w:vAlign w:val="center"/>
          </w:tcPr>
          <w:p w14:paraId="31CA5ABE">
            <w:pPr>
              <w:spacing w:before="156" w:after="156" w:line="288" w:lineRule="auto"/>
              <w:jc w:val="center"/>
              <w:rPr>
                <w:rFonts w:ascii="宋体" w:hAnsi="宋体" w:cs="宋体"/>
                <w:color w:val="auto"/>
                <w:sz w:val="24"/>
                <w:szCs w:val="24"/>
                <w:highlight w:val="none"/>
              </w:rPr>
            </w:pPr>
          </w:p>
        </w:tc>
        <w:tc>
          <w:tcPr>
            <w:tcW w:w="1562" w:type="dxa"/>
            <w:vAlign w:val="center"/>
          </w:tcPr>
          <w:p w14:paraId="31AA6717">
            <w:pPr>
              <w:spacing w:before="156" w:after="156" w:line="288" w:lineRule="auto"/>
              <w:jc w:val="center"/>
              <w:rPr>
                <w:rFonts w:ascii="宋体" w:hAnsi="宋体" w:cs="宋体"/>
                <w:color w:val="auto"/>
                <w:sz w:val="24"/>
                <w:szCs w:val="24"/>
                <w:highlight w:val="none"/>
              </w:rPr>
            </w:pPr>
          </w:p>
        </w:tc>
        <w:tc>
          <w:tcPr>
            <w:tcW w:w="1557" w:type="dxa"/>
            <w:vAlign w:val="center"/>
          </w:tcPr>
          <w:p w14:paraId="634ED75D">
            <w:pPr>
              <w:spacing w:before="156" w:after="156" w:line="288" w:lineRule="auto"/>
              <w:jc w:val="center"/>
              <w:rPr>
                <w:rFonts w:ascii="宋体" w:hAnsi="宋体" w:cs="宋体"/>
                <w:color w:val="auto"/>
                <w:sz w:val="24"/>
                <w:szCs w:val="24"/>
                <w:highlight w:val="none"/>
              </w:rPr>
            </w:pPr>
          </w:p>
        </w:tc>
        <w:tc>
          <w:tcPr>
            <w:tcW w:w="1842" w:type="dxa"/>
            <w:vAlign w:val="center"/>
          </w:tcPr>
          <w:p w14:paraId="729E65EA">
            <w:pPr>
              <w:spacing w:before="156" w:after="156" w:line="288" w:lineRule="auto"/>
              <w:jc w:val="center"/>
              <w:rPr>
                <w:rFonts w:ascii="宋体" w:hAnsi="宋体" w:cs="宋体"/>
                <w:color w:val="auto"/>
                <w:sz w:val="24"/>
                <w:szCs w:val="24"/>
                <w:highlight w:val="none"/>
              </w:rPr>
            </w:pPr>
          </w:p>
        </w:tc>
        <w:tc>
          <w:tcPr>
            <w:tcW w:w="1288" w:type="dxa"/>
            <w:vAlign w:val="center"/>
          </w:tcPr>
          <w:p w14:paraId="13FD6C58">
            <w:pPr>
              <w:spacing w:before="156" w:after="156" w:line="288" w:lineRule="auto"/>
              <w:jc w:val="center"/>
              <w:rPr>
                <w:rFonts w:ascii="宋体" w:hAnsi="宋体" w:cs="宋体"/>
                <w:color w:val="auto"/>
                <w:sz w:val="24"/>
                <w:szCs w:val="24"/>
                <w:highlight w:val="none"/>
              </w:rPr>
            </w:pPr>
          </w:p>
        </w:tc>
      </w:tr>
      <w:tr w14:paraId="6C65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4EB13F57">
            <w:pPr>
              <w:spacing w:before="156" w:after="156" w:line="288" w:lineRule="auto"/>
              <w:jc w:val="center"/>
              <w:rPr>
                <w:rFonts w:ascii="宋体" w:hAnsi="宋体" w:cs="宋体"/>
                <w:color w:val="auto"/>
                <w:sz w:val="24"/>
                <w:szCs w:val="24"/>
                <w:highlight w:val="none"/>
              </w:rPr>
            </w:pPr>
          </w:p>
        </w:tc>
        <w:tc>
          <w:tcPr>
            <w:tcW w:w="2094" w:type="dxa"/>
            <w:vAlign w:val="center"/>
          </w:tcPr>
          <w:p w14:paraId="25B1FAF1">
            <w:pPr>
              <w:spacing w:before="156" w:after="156" w:line="288" w:lineRule="auto"/>
              <w:jc w:val="center"/>
              <w:rPr>
                <w:rFonts w:ascii="宋体" w:hAnsi="宋体" w:cs="宋体"/>
                <w:color w:val="auto"/>
                <w:sz w:val="24"/>
                <w:szCs w:val="24"/>
                <w:highlight w:val="none"/>
              </w:rPr>
            </w:pPr>
          </w:p>
        </w:tc>
        <w:tc>
          <w:tcPr>
            <w:tcW w:w="1562" w:type="dxa"/>
            <w:vAlign w:val="center"/>
          </w:tcPr>
          <w:p w14:paraId="21120359">
            <w:pPr>
              <w:spacing w:before="156" w:after="156" w:line="288" w:lineRule="auto"/>
              <w:jc w:val="center"/>
              <w:rPr>
                <w:rFonts w:ascii="宋体" w:hAnsi="宋体" w:cs="宋体"/>
                <w:color w:val="auto"/>
                <w:sz w:val="24"/>
                <w:szCs w:val="24"/>
                <w:highlight w:val="none"/>
              </w:rPr>
            </w:pPr>
          </w:p>
        </w:tc>
        <w:tc>
          <w:tcPr>
            <w:tcW w:w="1557" w:type="dxa"/>
            <w:vAlign w:val="center"/>
          </w:tcPr>
          <w:p w14:paraId="1156DE82">
            <w:pPr>
              <w:spacing w:before="156" w:after="156" w:line="288" w:lineRule="auto"/>
              <w:jc w:val="center"/>
              <w:rPr>
                <w:rFonts w:ascii="宋体" w:hAnsi="宋体" w:cs="宋体"/>
                <w:color w:val="auto"/>
                <w:sz w:val="24"/>
                <w:szCs w:val="24"/>
                <w:highlight w:val="none"/>
              </w:rPr>
            </w:pPr>
          </w:p>
        </w:tc>
        <w:tc>
          <w:tcPr>
            <w:tcW w:w="1842" w:type="dxa"/>
            <w:vAlign w:val="center"/>
          </w:tcPr>
          <w:p w14:paraId="6823FFE2">
            <w:pPr>
              <w:spacing w:before="156" w:after="156" w:line="288" w:lineRule="auto"/>
              <w:jc w:val="center"/>
              <w:rPr>
                <w:rFonts w:ascii="宋体" w:hAnsi="宋体" w:cs="宋体"/>
                <w:color w:val="auto"/>
                <w:sz w:val="24"/>
                <w:szCs w:val="24"/>
                <w:highlight w:val="none"/>
              </w:rPr>
            </w:pPr>
          </w:p>
        </w:tc>
        <w:tc>
          <w:tcPr>
            <w:tcW w:w="1288" w:type="dxa"/>
            <w:vAlign w:val="center"/>
          </w:tcPr>
          <w:p w14:paraId="6AC3700A">
            <w:pPr>
              <w:spacing w:before="156" w:after="156" w:line="288" w:lineRule="auto"/>
              <w:jc w:val="center"/>
              <w:rPr>
                <w:rFonts w:ascii="宋体" w:hAnsi="宋体" w:cs="宋体"/>
                <w:color w:val="auto"/>
                <w:sz w:val="24"/>
                <w:szCs w:val="24"/>
                <w:highlight w:val="none"/>
              </w:rPr>
            </w:pPr>
          </w:p>
        </w:tc>
      </w:tr>
      <w:tr w14:paraId="76E6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30EA6D12">
            <w:pPr>
              <w:spacing w:before="156" w:after="156" w:line="288" w:lineRule="auto"/>
              <w:jc w:val="center"/>
              <w:rPr>
                <w:rFonts w:ascii="宋体" w:hAnsi="宋体" w:cs="宋体"/>
                <w:color w:val="auto"/>
                <w:sz w:val="24"/>
                <w:szCs w:val="24"/>
                <w:highlight w:val="none"/>
              </w:rPr>
            </w:pPr>
          </w:p>
        </w:tc>
        <w:tc>
          <w:tcPr>
            <w:tcW w:w="2094" w:type="dxa"/>
            <w:vAlign w:val="center"/>
          </w:tcPr>
          <w:p w14:paraId="5AAEB9D5">
            <w:pPr>
              <w:spacing w:before="156" w:after="156" w:line="288" w:lineRule="auto"/>
              <w:jc w:val="center"/>
              <w:rPr>
                <w:rFonts w:ascii="宋体" w:hAnsi="宋体" w:cs="宋体"/>
                <w:color w:val="auto"/>
                <w:sz w:val="24"/>
                <w:szCs w:val="24"/>
                <w:highlight w:val="none"/>
              </w:rPr>
            </w:pPr>
          </w:p>
        </w:tc>
        <w:tc>
          <w:tcPr>
            <w:tcW w:w="1562" w:type="dxa"/>
            <w:vAlign w:val="center"/>
          </w:tcPr>
          <w:p w14:paraId="2B19FAB8">
            <w:pPr>
              <w:spacing w:before="156" w:after="156" w:line="288" w:lineRule="auto"/>
              <w:jc w:val="center"/>
              <w:rPr>
                <w:rFonts w:ascii="宋体" w:hAnsi="宋体" w:cs="宋体"/>
                <w:color w:val="auto"/>
                <w:sz w:val="24"/>
                <w:szCs w:val="24"/>
                <w:highlight w:val="none"/>
              </w:rPr>
            </w:pPr>
          </w:p>
        </w:tc>
        <w:tc>
          <w:tcPr>
            <w:tcW w:w="1557" w:type="dxa"/>
            <w:vAlign w:val="center"/>
          </w:tcPr>
          <w:p w14:paraId="16A7AE74">
            <w:pPr>
              <w:spacing w:before="156" w:after="156" w:line="288" w:lineRule="auto"/>
              <w:jc w:val="center"/>
              <w:rPr>
                <w:rFonts w:ascii="宋体" w:hAnsi="宋体" w:cs="宋体"/>
                <w:color w:val="auto"/>
                <w:sz w:val="24"/>
                <w:szCs w:val="24"/>
                <w:highlight w:val="none"/>
              </w:rPr>
            </w:pPr>
          </w:p>
        </w:tc>
        <w:tc>
          <w:tcPr>
            <w:tcW w:w="1842" w:type="dxa"/>
            <w:vAlign w:val="center"/>
          </w:tcPr>
          <w:p w14:paraId="7396727F">
            <w:pPr>
              <w:spacing w:before="156" w:after="156" w:line="288" w:lineRule="auto"/>
              <w:jc w:val="center"/>
              <w:rPr>
                <w:rFonts w:ascii="宋体" w:hAnsi="宋体" w:cs="宋体"/>
                <w:color w:val="auto"/>
                <w:sz w:val="24"/>
                <w:szCs w:val="24"/>
                <w:highlight w:val="none"/>
              </w:rPr>
            </w:pPr>
          </w:p>
        </w:tc>
        <w:tc>
          <w:tcPr>
            <w:tcW w:w="1288" w:type="dxa"/>
            <w:vAlign w:val="center"/>
          </w:tcPr>
          <w:p w14:paraId="6C9F746B">
            <w:pPr>
              <w:spacing w:before="156" w:after="156" w:line="288" w:lineRule="auto"/>
              <w:jc w:val="center"/>
              <w:rPr>
                <w:rFonts w:ascii="宋体" w:hAnsi="宋体" w:cs="宋体"/>
                <w:color w:val="auto"/>
                <w:sz w:val="24"/>
                <w:szCs w:val="24"/>
                <w:highlight w:val="none"/>
              </w:rPr>
            </w:pPr>
          </w:p>
        </w:tc>
      </w:tr>
      <w:tr w14:paraId="7053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762ED5E4">
            <w:pPr>
              <w:spacing w:before="156" w:after="156" w:line="288" w:lineRule="auto"/>
              <w:jc w:val="center"/>
              <w:rPr>
                <w:rFonts w:ascii="宋体" w:hAnsi="宋体" w:cs="宋体"/>
                <w:color w:val="auto"/>
                <w:sz w:val="24"/>
                <w:szCs w:val="24"/>
                <w:highlight w:val="none"/>
              </w:rPr>
            </w:pPr>
          </w:p>
        </w:tc>
        <w:tc>
          <w:tcPr>
            <w:tcW w:w="2094" w:type="dxa"/>
            <w:vAlign w:val="center"/>
          </w:tcPr>
          <w:p w14:paraId="3802D1BE">
            <w:pPr>
              <w:spacing w:before="156" w:after="156" w:line="288" w:lineRule="auto"/>
              <w:jc w:val="center"/>
              <w:rPr>
                <w:rFonts w:ascii="宋体" w:hAnsi="宋体" w:cs="宋体"/>
                <w:color w:val="auto"/>
                <w:sz w:val="24"/>
                <w:szCs w:val="24"/>
                <w:highlight w:val="none"/>
              </w:rPr>
            </w:pPr>
          </w:p>
        </w:tc>
        <w:tc>
          <w:tcPr>
            <w:tcW w:w="1562" w:type="dxa"/>
            <w:vAlign w:val="center"/>
          </w:tcPr>
          <w:p w14:paraId="50D4131E">
            <w:pPr>
              <w:spacing w:before="156" w:after="156" w:line="288" w:lineRule="auto"/>
              <w:jc w:val="center"/>
              <w:rPr>
                <w:rFonts w:ascii="宋体" w:hAnsi="宋体" w:cs="宋体"/>
                <w:color w:val="auto"/>
                <w:sz w:val="24"/>
                <w:szCs w:val="24"/>
                <w:highlight w:val="none"/>
              </w:rPr>
            </w:pPr>
          </w:p>
        </w:tc>
        <w:tc>
          <w:tcPr>
            <w:tcW w:w="1557" w:type="dxa"/>
            <w:vAlign w:val="center"/>
          </w:tcPr>
          <w:p w14:paraId="0D976BCB">
            <w:pPr>
              <w:spacing w:before="156" w:after="156" w:line="288" w:lineRule="auto"/>
              <w:jc w:val="center"/>
              <w:rPr>
                <w:rFonts w:ascii="宋体" w:hAnsi="宋体" w:cs="宋体"/>
                <w:color w:val="auto"/>
                <w:sz w:val="24"/>
                <w:szCs w:val="24"/>
                <w:highlight w:val="none"/>
              </w:rPr>
            </w:pPr>
          </w:p>
        </w:tc>
        <w:tc>
          <w:tcPr>
            <w:tcW w:w="1842" w:type="dxa"/>
            <w:vAlign w:val="center"/>
          </w:tcPr>
          <w:p w14:paraId="53FA3B25">
            <w:pPr>
              <w:spacing w:before="156" w:after="156" w:line="288" w:lineRule="auto"/>
              <w:jc w:val="center"/>
              <w:rPr>
                <w:rFonts w:ascii="宋体" w:hAnsi="宋体" w:cs="宋体"/>
                <w:color w:val="auto"/>
                <w:sz w:val="24"/>
                <w:szCs w:val="24"/>
                <w:highlight w:val="none"/>
              </w:rPr>
            </w:pPr>
          </w:p>
        </w:tc>
        <w:tc>
          <w:tcPr>
            <w:tcW w:w="1288" w:type="dxa"/>
            <w:vAlign w:val="center"/>
          </w:tcPr>
          <w:p w14:paraId="012C42B8">
            <w:pPr>
              <w:spacing w:before="156" w:after="156" w:line="288" w:lineRule="auto"/>
              <w:jc w:val="center"/>
              <w:rPr>
                <w:rFonts w:ascii="宋体" w:hAnsi="宋体" w:cs="宋体"/>
                <w:color w:val="auto"/>
                <w:sz w:val="24"/>
                <w:szCs w:val="24"/>
                <w:highlight w:val="none"/>
              </w:rPr>
            </w:pPr>
          </w:p>
        </w:tc>
      </w:tr>
      <w:tr w14:paraId="65DB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7C64E252">
            <w:pPr>
              <w:spacing w:before="156" w:after="156" w:line="288" w:lineRule="auto"/>
              <w:jc w:val="center"/>
              <w:rPr>
                <w:rFonts w:ascii="宋体" w:hAnsi="宋体" w:cs="宋体"/>
                <w:color w:val="auto"/>
                <w:sz w:val="24"/>
                <w:szCs w:val="24"/>
                <w:highlight w:val="none"/>
              </w:rPr>
            </w:pPr>
          </w:p>
        </w:tc>
        <w:tc>
          <w:tcPr>
            <w:tcW w:w="2094" w:type="dxa"/>
            <w:vAlign w:val="center"/>
          </w:tcPr>
          <w:p w14:paraId="7E7B1E43">
            <w:pPr>
              <w:spacing w:before="156" w:after="156" w:line="288" w:lineRule="auto"/>
              <w:jc w:val="center"/>
              <w:rPr>
                <w:rFonts w:ascii="宋体" w:hAnsi="宋体" w:cs="宋体"/>
                <w:color w:val="auto"/>
                <w:sz w:val="24"/>
                <w:szCs w:val="24"/>
                <w:highlight w:val="none"/>
              </w:rPr>
            </w:pPr>
          </w:p>
        </w:tc>
        <w:tc>
          <w:tcPr>
            <w:tcW w:w="1562" w:type="dxa"/>
            <w:vAlign w:val="center"/>
          </w:tcPr>
          <w:p w14:paraId="1A51530C">
            <w:pPr>
              <w:spacing w:before="156" w:after="156" w:line="288" w:lineRule="auto"/>
              <w:jc w:val="center"/>
              <w:rPr>
                <w:rFonts w:ascii="宋体" w:hAnsi="宋体" w:cs="宋体"/>
                <w:color w:val="auto"/>
                <w:sz w:val="24"/>
                <w:szCs w:val="24"/>
                <w:highlight w:val="none"/>
              </w:rPr>
            </w:pPr>
          </w:p>
        </w:tc>
        <w:tc>
          <w:tcPr>
            <w:tcW w:w="1557" w:type="dxa"/>
            <w:vAlign w:val="center"/>
          </w:tcPr>
          <w:p w14:paraId="2AACD3A1">
            <w:pPr>
              <w:spacing w:before="156" w:after="156" w:line="288" w:lineRule="auto"/>
              <w:jc w:val="center"/>
              <w:rPr>
                <w:rFonts w:ascii="宋体" w:hAnsi="宋体" w:cs="宋体"/>
                <w:color w:val="auto"/>
                <w:sz w:val="24"/>
                <w:szCs w:val="24"/>
                <w:highlight w:val="none"/>
              </w:rPr>
            </w:pPr>
          </w:p>
        </w:tc>
        <w:tc>
          <w:tcPr>
            <w:tcW w:w="1842" w:type="dxa"/>
            <w:vAlign w:val="center"/>
          </w:tcPr>
          <w:p w14:paraId="26236582">
            <w:pPr>
              <w:spacing w:before="156" w:after="156" w:line="288" w:lineRule="auto"/>
              <w:jc w:val="center"/>
              <w:rPr>
                <w:rFonts w:ascii="宋体" w:hAnsi="宋体" w:cs="宋体"/>
                <w:color w:val="auto"/>
                <w:sz w:val="24"/>
                <w:szCs w:val="24"/>
                <w:highlight w:val="none"/>
              </w:rPr>
            </w:pPr>
          </w:p>
        </w:tc>
        <w:tc>
          <w:tcPr>
            <w:tcW w:w="1288" w:type="dxa"/>
            <w:vAlign w:val="center"/>
          </w:tcPr>
          <w:p w14:paraId="1DA014B0">
            <w:pPr>
              <w:spacing w:before="156" w:after="156" w:line="288" w:lineRule="auto"/>
              <w:jc w:val="center"/>
              <w:rPr>
                <w:rFonts w:ascii="宋体" w:hAnsi="宋体" w:cs="宋体"/>
                <w:color w:val="auto"/>
                <w:sz w:val="24"/>
                <w:szCs w:val="24"/>
                <w:highlight w:val="none"/>
              </w:rPr>
            </w:pPr>
          </w:p>
        </w:tc>
      </w:tr>
      <w:tr w14:paraId="577A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07412624">
            <w:pPr>
              <w:spacing w:before="156" w:after="156" w:line="288" w:lineRule="auto"/>
              <w:jc w:val="center"/>
              <w:rPr>
                <w:rFonts w:ascii="宋体" w:hAnsi="宋体" w:cs="宋体"/>
                <w:color w:val="auto"/>
                <w:sz w:val="24"/>
                <w:szCs w:val="24"/>
                <w:highlight w:val="none"/>
              </w:rPr>
            </w:pPr>
          </w:p>
        </w:tc>
        <w:tc>
          <w:tcPr>
            <w:tcW w:w="2094" w:type="dxa"/>
            <w:vAlign w:val="center"/>
          </w:tcPr>
          <w:p w14:paraId="442142EC">
            <w:pPr>
              <w:spacing w:before="156" w:after="156" w:line="288" w:lineRule="auto"/>
              <w:jc w:val="center"/>
              <w:rPr>
                <w:rFonts w:ascii="宋体" w:hAnsi="宋体" w:cs="宋体"/>
                <w:color w:val="auto"/>
                <w:sz w:val="24"/>
                <w:szCs w:val="24"/>
                <w:highlight w:val="none"/>
              </w:rPr>
            </w:pPr>
          </w:p>
        </w:tc>
        <w:tc>
          <w:tcPr>
            <w:tcW w:w="1562" w:type="dxa"/>
            <w:vAlign w:val="center"/>
          </w:tcPr>
          <w:p w14:paraId="52FE1B7A">
            <w:pPr>
              <w:spacing w:before="156" w:after="156" w:line="288" w:lineRule="auto"/>
              <w:jc w:val="center"/>
              <w:rPr>
                <w:rFonts w:ascii="宋体" w:hAnsi="宋体" w:cs="宋体"/>
                <w:color w:val="auto"/>
                <w:sz w:val="24"/>
                <w:szCs w:val="24"/>
                <w:highlight w:val="none"/>
              </w:rPr>
            </w:pPr>
          </w:p>
        </w:tc>
        <w:tc>
          <w:tcPr>
            <w:tcW w:w="1557" w:type="dxa"/>
            <w:vAlign w:val="center"/>
          </w:tcPr>
          <w:p w14:paraId="0ED3CF2C">
            <w:pPr>
              <w:spacing w:before="156" w:after="156" w:line="288" w:lineRule="auto"/>
              <w:jc w:val="center"/>
              <w:rPr>
                <w:rFonts w:ascii="宋体" w:hAnsi="宋体" w:cs="宋体"/>
                <w:color w:val="auto"/>
                <w:sz w:val="24"/>
                <w:szCs w:val="24"/>
                <w:highlight w:val="none"/>
              </w:rPr>
            </w:pPr>
          </w:p>
        </w:tc>
        <w:tc>
          <w:tcPr>
            <w:tcW w:w="1842" w:type="dxa"/>
            <w:vAlign w:val="center"/>
          </w:tcPr>
          <w:p w14:paraId="35E1C495">
            <w:pPr>
              <w:spacing w:before="156" w:after="156" w:line="288" w:lineRule="auto"/>
              <w:jc w:val="center"/>
              <w:rPr>
                <w:rFonts w:ascii="宋体" w:hAnsi="宋体" w:cs="宋体"/>
                <w:color w:val="auto"/>
                <w:sz w:val="24"/>
                <w:szCs w:val="24"/>
                <w:highlight w:val="none"/>
              </w:rPr>
            </w:pPr>
          </w:p>
        </w:tc>
        <w:tc>
          <w:tcPr>
            <w:tcW w:w="1288" w:type="dxa"/>
            <w:vAlign w:val="center"/>
          </w:tcPr>
          <w:p w14:paraId="1A9DBEC3">
            <w:pPr>
              <w:spacing w:before="156" w:after="156" w:line="288" w:lineRule="auto"/>
              <w:jc w:val="center"/>
              <w:rPr>
                <w:rFonts w:ascii="宋体" w:hAnsi="宋体" w:cs="宋体"/>
                <w:color w:val="auto"/>
                <w:sz w:val="24"/>
                <w:szCs w:val="24"/>
                <w:highlight w:val="none"/>
              </w:rPr>
            </w:pPr>
          </w:p>
        </w:tc>
      </w:tr>
      <w:tr w14:paraId="4244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54B297C7">
            <w:pPr>
              <w:spacing w:before="156" w:after="156" w:line="288" w:lineRule="auto"/>
              <w:jc w:val="center"/>
              <w:rPr>
                <w:rFonts w:ascii="宋体" w:hAnsi="宋体" w:cs="宋体"/>
                <w:color w:val="auto"/>
                <w:sz w:val="24"/>
                <w:szCs w:val="24"/>
                <w:highlight w:val="none"/>
              </w:rPr>
            </w:pPr>
          </w:p>
        </w:tc>
        <w:tc>
          <w:tcPr>
            <w:tcW w:w="2094" w:type="dxa"/>
            <w:vAlign w:val="center"/>
          </w:tcPr>
          <w:p w14:paraId="24AE1CD3">
            <w:pPr>
              <w:spacing w:before="156" w:after="156" w:line="288" w:lineRule="auto"/>
              <w:jc w:val="center"/>
              <w:rPr>
                <w:rFonts w:ascii="宋体" w:hAnsi="宋体" w:cs="宋体"/>
                <w:color w:val="auto"/>
                <w:sz w:val="24"/>
                <w:szCs w:val="24"/>
                <w:highlight w:val="none"/>
              </w:rPr>
            </w:pPr>
          </w:p>
        </w:tc>
        <w:tc>
          <w:tcPr>
            <w:tcW w:w="1562" w:type="dxa"/>
            <w:vAlign w:val="center"/>
          </w:tcPr>
          <w:p w14:paraId="452FC83A">
            <w:pPr>
              <w:spacing w:before="156" w:after="156" w:line="288" w:lineRule="auto"/>
              <w:jc w:val="center"/>
              <w:rPr>
                <w:rFonts w:ascii="宋体" w:hAnsi="宋体" w:cs="宋体"/>
                <w:color w:val="auto"/>
                <w:sz w:val="24"/>
                <w:szCs w:val="24"/>
                <w:highlight w:val="none"/>
              </w:rPr>
            </w:pPr>
          </w:p>
        </w:tc>
        <w:tc>
          <w:tcPr>
            <w:tcW w:w="1557" w:type="dxa"/>
            <w:vAlign w:val="center"/>
          </w:tcPr>
          <w:p w14:paraId="748DF7CE">
            <w:pPr>
              <w:spacing w:before="156" w:after="156" w:line="288" w:lineRule="auto"/>
              <w:jc w:val="center"/>
              <w:rPr>
                <w:rFonts w:ascii="宋体" w:hAnsi="宋体" w:cs="宋体"/>
                <w:color w:val="auto"/>
                <w:sz w:val="24"/>
                <w:szCs w:val="24"/>
                <w:highlight w:val="none"/>
              </w:rPr>
            </w:pPr>
          </w:p>
        </w:tc>
        <w:tc>
          <w:tcPr>
            <w:tcW w:w="1842" w:type="dxa"/>
            <w:vAlign w:val="center"/>
          </w:tcPr>
          <w:p w14:paraId="330D828A">
            <w:pPr>
              <w:spacing w:before="156" w:after="156" w:line="288" w:lineRule="auto"/>
              <w:jc w:val="center"/>
              <w:rPr>
                <w:rFonts w:ascii="宋体" w:hAnsi="宋体" w:cs="宋体"/>
                <w:color w:val="auto"/>
                <w:sz w:val="24"/>
                <w:szCs w:val="24"/>
                <w:highlight w:val="none"/>
              </w:rPr>
            </w:pPr>
          </w:p>
        </w:tc>
        <w:tc>
          <w:tcPr>
            <w:tcW w:w="1288" w:type="dxa"/>
            <w:vAlign w:val="center"/>
          </w:tcPr>
          <w:p w14:paraId="235D97EB">
            <w:pPr>
              <w:spacing w:before="156" w:after="156" w:line="288" w:lineRule="auto"/>
              <w:jc w:val="center"/>
              <w:rPr>
                <w:rFonts w:ascii="宋体" w:hAnsi="宋体" w:cs="宋体"/>
                <w:color w:val="auto"/>
                <w:sz w:val="24"/>
                <w:szCs w:val="24"/>
                <w:highlight w:val="none"/>
              </w:rPr>
            </w:pPr>
          </w:p>
        </w:tc>
      </w:tr>
      <w:tr w14:paraId="44C4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081A72CC">
            <w:pPr>
              <w:spacing w:before="156" w:after="156" w:line="288" w:lineRule="auto"/>
              <w:jc w:val="center"/>
              <w:rPr>
                <w:rFonts w:ascii="宋体" w:hAnsi="宋体" w:cs="宋体"/>
                <w:color w:val="auto"/>
                <w:sz w:val="24"/>
                <w:szCs w:val="24"/>
                <w:highlight w:val="none"/>
              </w:rPr>
            </w:pPr>
          </w:p>
        </w:tc>
        <w:tc>
          <w:tcPr>
            <w:tcW w:w="2094" w:type="dxa"/>
            <w:vAlign w:val="center"/>
          </w:tcPr>
          <w:p w14:paraId="737083E3">
            <w:pPr>
              <w:spacing w:before="156" w:after="156" w:line="288" w:lineRule="auto"/>
              <w:jc w:val="center"/>
              <w:rPr>
                <w:rFonts w:ascii="宋体" w:hAnsi="宋体" w:cs="宋体"/>
                <w:color w:val="auto"/>
                <w:sz w:val="24"/>
                <w:szCs w:val="24"/>
                <w:highlight w:val="none"/>
              </w:rPr>
            </w:pPr>
          </w:p>
        </w:tc>
        <w:tc>
          <w:tcPr>
            <w:tcW w:w="1562" w:type="dxa"/>
            <w:vAlign w:val="center"/>
          </w:tcPr>
          <w:p w14:paraId="693F58A8">
            <w:pPr>
              <w:spacing w:before="156" w:after="156" w:line="288" w:lineRule="auto"/>
              <w:jc w:val="center"/>
              <w:rPr>
                <w:rFonts w:ascii="宋体" w:hAnsi="宋体" w:cs="宋体"/>
                <w:color w:val="auto"/>
                <w:sz w:val="24"/>
                <w:szCs w:val="24"/>
                <w:highlight w:val="none"/>
              </w:rPr>
            </w:pPr>
          </w:p>
        </w:tc>
        <w:tc>
          <w:tcPr>
            <w:tcW w:w="1557" w:type="dxa"/>
            <w:vAlign w:val="center"/>
          </w:tcPr>
          <w:p w14:paraId="585831B5">
            <w:pPr>
              <w:spacing w:before="156" w:after="156" w:line="288" w:lineRule="auto"/>
              <w:jc w:val="center"/>
              <w:rPr>
                <w:rFonts w:ascii="宋体" w:hAnsi="宋体" w:cs="宋体"/>
                <w:color w:val="auto"/>
                <w:sz w:val="24"/>
                <w:szCs w:val="24"/>
                <w:highlight w:val="none"/>
              </w:rPr>
            </w:pPr>
          </w:p>
        </w:tc>
        <w:tc>
          <w:tcPr>
            <w:tcW w:w="1842" w:type="dxa"/>
            <w:vAlign w:val="center"/>
          </w:tcPr>
          <w:p w14:paraId="422803DB">
            <w:pPr>
              <w:spacing w:before="156" w:after="156" w:line="288" w:lineRule="auto"/>
              <w:jc w:val="center"/>
              <w:rPr>
                <w:rFonts w:ascii="宋体" w:hAnsi="宋体" w:cs="宋体"/>
                <w:color w:val="auto"/>
                <w:sz w:val="24"/>
                <w:szCs w:val="24"/>
                <w:highlight w:val="none"/>
              </w:rPr>
            </w:pPr>
          </w:p>
        </w:tc>
        <w:tc>
          <w:tcPr>
            <w:tcW w:w="1288" w:type="dxa"/>
            <w:vAlign w:val="center"/>
          </w:tcPr>
          <w:p w14:paraId="5086581D">
            <w:pPr>
              <w:spacing w:before="156" w:after="156" w:line="288" w:lineRule="auto"/>
              <w:jc w:val="center"/>
              <w:rPr>
                <w:rFonts w:ascii="宋体" w:hAnsi="宋体" w:cs="宋体"/>
                <w:color w:val="auto"/>
                <w:sz w:val="24"/>
                <w:szCs w:val="24"/>
                <w:highlight w:val="none"/>
              </w:rPr>
            </w:pPr>
          </w:p>
        </w:tc>
      </w:tr>
      <w:tr w14:paraId="7D96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70F5A800">
            <w:pPr>
              <w:spacing w:before="156" w:after="156" w:line="288" w:lineRule="auto"/>
              <w:jc w:val="center"/>
              <w:rPr>
                <w:rFonts w:ascii="宋体" w:hAnsi="宋体" w:cs="宋体"/>
                <w:color w:val="auto"/>
                <w:sz w:val="24"/>
                <w:szCs w:val="24"/>
                <w:highlight w:val="none"/>
              </w:rPr>
            </w:pPr>
          </w:p>
        </w:tc>
        <w:tc>
          <w:tcPr>
            <w:tcW w:w="2094" w:type="dxa"/>
            <w:vAlign w:val="center"/>
          </w:tcPr>
          <w:p w14:paraId="497A6D07">
            <w:pPr>
              <w:spacing w:before="156" w:after="156" w:line="288" w:lineRule="auto"/>
              <w:jc w:val="center"/>
              <w:rPr>
                <w:rFonts w:ascii="宋体" w:hAnsi="宋体" w:cs="宋体"/>
                <w:color w:val="auto"/>
                <w:sz w:val="24"/>
                <w:szCs w:val="24"/>
                <w:highlight w:val="none"/>
              </w:rPr>
            </w:pPr>
          </w:p>
        </w:tc>
        <w:tc>
          <w:tcPr>
            <w:tcW w:w="1562" w:type="dxa"/>
            <w:vAlign w:val="center"/>
          </w:tcPr>
          <w:p w14:paraId="2499E12A">
            <w:pPr>
              <w:spacing w:before="156" w:after="156" w:line="288" w:lineRule="auto"/>
              <w:jc w:val="center"/>
              <w:rPr>
                <w:rFonts w:ascii="宋体" w:hAnsi="宋体" w:cs="宋体"/>
                <w:color w:val="auto"/>
                <w:sz w:val="24"/>
                <w:szCs w:val="24"/>
                <w:highlight w:val="none"/>
              </w:rPr>
            </w:pPr>
          </w:p>
        </w:tc>
        <w:tc>
          <w:tcPr>
            <w:tcW w:w="1557" w:type="dxa"/>
            <w:vAlign w:val="center"/>
          </w:tcPr>
          <w:p w14:paraId="28791066">
            <w:pPr>
              <w:spacing w:before="156" w:after="156" w:line="288" w:lineRule="auto"/>
              <w:jc w:val="center"/>
              <w:rPr>
                <w:rFonts w:ascii="宋体" w:hAnsi="宋体" w:cs="宋体"/>
                <w:color w:val="auto"/>
                <w:sz w:val="24"/>
                <w:szCs w:val="24"/>
                <w:highlight w:val="none"/>
              </w:rPr>
            </w:pPr>
          </w:p>
        </w:tc>
        <w:tc>
          <w:tcPr>
            <w:tcW w:w="1842" w:type="dxa"/>
            <w:vAlign w:val="center"/>
          </w:tcPr>
          <w:p w14:paraId="36464D16">
            <w:pPr>
              <w:spacing w:before="156" w:after="156" w:line="288" w:lineRule="auto"/>
              <w:jc w:val="center"/>
              <w:rPr>
                <w:rFonts w:ascii="宋体" w:hAnsi="宋体" w:cs="宋体"/>
                <w:color w:val="auto"/>
                <w:sz w:val="24"/>
                <w:szCs w:val="24"/>
                <w:highlight w:val="none"/>
              </w:rPr>
            </w:pPr>
          </w:p>
        </w:tc>
        <w:tc>
          <w:tcPr>
            <w:tcW w:w="1288" w:type="dxa"/>
            <w:vAlign w:val="center"/>
          </w:tcPr>
          <w:p w14:paraId="7C9E2A6A">
            <w:pPr>
              <w:spacing w:before="156" w:after="156" w:line="288" w:lineRule="auto"/>
              <w:jc w:val="center"/>
              <w:rPr>
                <w:rFonts w:ascii="宋体" w:hAnsi="宋体" w:cs="宋体"/>
                <w:color w:val="auto"/>
                <w:sz w:val="24"/>
                <w:szCs w:val="24"/>
                <w:highlight w:val="none"/>
              </w:rPr>
            </w:pPr>
          </w:p>
        </w:tc>
      </w:tr>
    </w:tbl>
    <w:p w14:paraId="4F5BCB29">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附中标通知书或合同复印件并加盖公章。</w:t>
      </w:r>
    </w:p>
    <w:p w14:paraId="00FF81CB">
      <w:pPr>
        <w:spacing w:line="288" w:lineRule="auto"/>
        <w:rPr>
          <w:rFonts w:ascii="宋体" w:hAnsi="宋体" w:cs="宋体"/>
          <w:color w:val="auto"/>
          <w:sz w:val="24"/>
          <w:szCs w:val="24"/>
          <w:highlight w:val="none"/>
        </w:rPr>
      </w:pPr>
    </w:p>
    <w:p w14:paraId="1EEE30F1">
      <w:pPr>
        <w:spacing w:line="288" w:lineRule="auto"/>
        <w:rPr>
          <w:rFonts w:ascii="宋体" w:hAnsi="宋体" w:cs="宋体"/>
          <w:color w:val="auto"/>
          <w:sz w:val="24"/>
          <w:szCs w:val="24"/>
          <w:highlight w:val="none"/>
        </w:rPr>
      </w:pPr>
    </w:p>
    <w:tbl>
      <w:tblPr>
        <w:tblStyle w:val="43"/>
        <w:tblW w:w="8528" w:type="dxa"/>
        <w:tblInd w:w="0" w:type="dxa"/>
        <w:tblLayout w:type="fixed"/>
        <w:tblCellMar>
          <w:top w:w="0" w:type="dxa"/>
          <w:left w:w="108" w:type="dxa"/>
          <w:bottom w:w="0" w:type="dxa"/>
          <w:right w:w="108" w:type="dxa"/>
        </w:tblCellMar>
      </w:tblPr>
      <w:tblGrid>
        <w:gridCol w:w="5353"/>
        <w:gridCol w:w="3175"/>
      </w:tblGrid>
      <w:tr w14:paraId="478A1B6F">
        <w:tblPrEx>
          <w:tblCellMar>
            <w:top w:w="0" w:type="dxa"/>
            <w:left w:w="108" w:type="dxa"/>
            <w:bottom w:w="0" w:type="dxa"/>
            <w:right w:w="108" w:type="dxa"/>
          </w:tblCellMar>
        </w:tblPrEx>
        <w:tc>
          <w:tcPr>
            <w:tcW w:w="5353" w:type="dxa"/>
            <w:shd w:val="clear" w:color="auto" w:fill="auto"/>
          </w:tcPr>
          <w:p w14:paraId="0E2B0034">
            <w:pPr>
              <w:overflowPunct w:val="0"/>
              <w:adjustRightInd w:val="0"/>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c>
          <w:tcPr>
            <w:tcW w:w="3175" w:type="dxa"/>
            <w:shd w:val="clear" w:color="auto" w:fill="auto"/>
          </w:tcPr>
          <w:p w14:paraId="5BBB65B9">
            <w:pPr>
              <w:spacing w:line="288" w:lineRule="auto"/>
              <w:rPr>
                <w:rFonts w:ascii="宋体" w:hAnsi="宋体" w:cs="宋体"/>
                <w:color w:val="auto"/>
                <w:sz w:val="24"/>
                <w:szCs w:val="24"/>
                <w:highlight w:val="none"/>
              </w:rPr>
            </w:pPr>
          </w:p>
        </w:tc>
      </w:tr>
      <w:tr w14:paraId="4B8F6462">
        <w:tblPrEx>
          <w:tblCellMar>
            <w:top w:w="0" w:type="dxa"/>
            <w:left w:w="108" w:type="dxa"/>
            <w:bottom w:w="0" w:type="dxa"/>
            <w:right w:w="108" w:type="dxa"/>
          </w:tblCellMar>
        </w:tblPrEx>
        <w:tc>
          <w:tcPr>
            <w:tcW w:w="5353" w:type="dxa"/>
            <w:shd w:val="clear" w:color="auto" w:fill="auto"/>
          </w:tcPr>
          <w:p w14:paraId="00F94981">
            <w:pPr>
              <w:spacing w:line="288" w:lineRule="auto"/>
              <w:rPr>
                <w:rFonts w:ascii="宋体" w:hAnsi="宋体" w:cs="宋体"/>
                <w:color w:val="auto"/>
                <w:sz w:val="24"/>
                <w:szCs w:val="24"/>
                <w:highlight w:val="none"/>
              </w:rPr>
            </w:pPr>
          </w:p>
          <w:p w14:paraId="663976F6">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tc>
        <w:tc>
          <w:tcPr>
            <w:tcW w:w="3175" w:type="dxa"/>
            <w:shd w:val="clear" w:color="auto" w:fill="auto"/>
          </w:tcPr>
          <w:p w14:paraId="321BD83F">
            <w:pPr>
              <w:spacing w:line="288" w:lineRule="auto"/>
              <w:rPr>
                <w:rFonts w:ascii="宋体" w:hAnsi="宋体" w:cs="宋体"/>
                <w:color w:val="auto"/>
                <w:sz w:val="24"/>
                <w:szCs w:val="24"/>
                <w:highlight w:val="none"/>
              </w:rPr>
            </w:pPr>
          </w:p>
        </w:tc>
      </w:tr>
    </w:tbl>
    <w:p w14:paraId="268AE80B">
      <w:pPr>
        <w:spacing w:line="360" w:lineRule="auto"/>
        <w:rPr>
          <w:rFonts w:ascii="宋体" w:hAnsi="宋体" w:cs="宋体"/>
          <w:color w:val="auto"/>
          <w:szCs w:val="21"/>
          <w:highlight w:val="none"/>
        </w:rPr>
      </w:pPr>
    </w:p>
    <w:p w14:paraId="2A5CCA70">
      <w:pPr>
        <w:rPr>
          <w:rFonts w:ascii="宋体" w:hAnsi="宋体" w:cs="宋体"/>
          <w:b/>
          <w:color w:val="auto"/>
          <w:spacing w:val="20"/>
          <w:sz w:val="30"/>
          <w:szCs w:val="30"/>
          <w:highlight w:val="none"/>
        </w:rPr>
      </w:pPr>
      <w:r>
        <w:rPr>
          <w:rFonts w:hint="eastAsia" w:ascii="宋体" w:hAnsi="宋体" w:cs="宋体"/>
          <w:b/>
          <w:color w:val="auto"/>
          <w:spacing w:val="20"/>
          <w:sz w:val="30"/>
          <w:szCs w:val="30"/>
          <w:highlight w:val="none"/>
        </w:rPr>
        <w:br w:type="page"/>
      </w:r>
    </w:p>
    <w:p w14:paraId="62253DB0">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十、资格声明</w:t>
      </w:r>
    </w:p>
    <w:p w14:paraId="7F25317A">
      <w:pPr>
        <w:adjustRightInd w:val="0"/>
        <w:snapToGrid w:val="0"/>
        <w:spacing w:after="120" w:afterLines="50" w:line="288" w:lineRule="auto"/>
        <w:rPr>
          <w:rFonts w:ascii="宋体" w:hAnsi="宋体" w:cs="宋体"/>
          <w:b/>
          <w:color w:val="auto"/>
          <w:sz w:val="24"/>
          <w:szCs w:val="24"/>
          <w:highlight w:val="none"/>
        </w:rPr>
      </w:pPr>
      <w:r>
        <w:rPr>
          <w:rFonts w:hint="eastAsia" w:ascii="宋体" w:hAnsi="宋体" w:cs="宋体"/>
          <w:b/>
          <w:color w:val="auto"/>
          <w:sz w:val="24"/>
          <w:szCs w:val="24"/>
          <w:highlight w:val="none"/>
          <w:u w:val="single"/>
        </w:rPr>
        <w:t>（采购代理机构）</w:t>
      </w:r>
      <w:r>
        <w:rPr>
          <w:rFonts w:hint="eastAsia" w:ascii="宋体" w:hAnsi="宋体" w:cs="宋体"/>
          <w:b/>
          <w:color w:val="auto"/>
          <w:sz w:val="24"/>
          <w:szCs w:val="24"/>
          <w:highlight w:val="none"/>
        </w:rPr>
        <w:t>：</w:t>
      </w:r>
    </w:p>
    <w:p w14:paraId="1E7AA1A5">
      <w:pPr>
        <w:adjustRightInd w:val="0"/>
        <w:snapToGrid w:val="0"/>
        <w:spacing w:line="288"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我方愿响应贵方关于</w:t>
      </w:r>
      <w:r>
        <w:rPr>
          <w:rFonts w:hint="eastAsia" w:ascii="宋体" w:hAnsi="宋体" w:cs="宋体"/>
          <w:b/>
          <w:bCs/>
          <w:color w:val="auto"/>
          <w:sz w:val="24"/>
          <w:szCs w:val="24"/>
          <w:highlight w:val="none"/>
          <w:u w:val="single"/>
        </w:rPr>
        <w:t xml:space="preserve">    （项目名称）    </w:t>
      </w:r>
      <w:r>
        <w:rPr>
          <w:rFonts w:hint="eastAsia" w:ascii="宋体" w:hAnsi="宋体" w:cs="宋体"/>
          <w:b/>
          <w:bCs/>
          <w:color w:val="auto"/>
          <w:sz w:val="24"/>
          <w:szCs w:val="24"/>
          <w:highlight w:val="none"/>
        </w:rPr>
        <w:t>（项目编号：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）的投标，参与投标，提供用户需求书中规定的货物及相关服务，并按招标文件要求提交所附资格文件且声明和保证如下：</w:t>
      </w:r>
    </w:p>
    <w:p w14:paraId="46B2BB1A">
      <w:pPr>
        <w:adjustRightInd w:val="0"/>
        <w:snapToGrid w:val="0"/>
        <w:spacing w:line="288" w:lineRule="auto"/>
        <w:ind w:firstLine="360"/>
        <w:rPr>
          <w:rFonts w:ascii="宋体" w:hAnsi="宋体" w:cs="宋体"/>
          <w:color w:val="auto"/>
          <w:sz w:val="24"/>
          <w:szCs w:val="24"/>
          <w:highlight w:val="none"/>
        </w:rPr>
      </w:pPr>
      <w:r>
        <w:rPr>
          <w:rFonts w:hint="eastAsia" w:ascii="宋体" w:hAnsi="宋体" w:cs="宋体"/>
          <w:color w:val="auto"/>
          <w:sz w:val="24"/>
          <w:szCs w:val="24"/>
          <w:highlight w:val="none"/>
        </w:rPr>
        <w:t>本公司（企业）</w:t>
      </w:r>
      <w:r>
        <w:rPr>
          <w:rFonts w:hint="eastAsia" w:ascii="宋体" w:hAnsi="宋体" w:cs="宋体"/>
          <w:bCs/>
          <w:color w:val="auto"/>
          <w:sz w:val="24"/>
          <w:szCs w:val="24"/>
          <w:highlight w:val="none"/>
        </w:rPr>
        <w:t>具备招标文件中资格要求。</w:t>
      </w:r>
    </w:p>
    <w:p w14:paraId="494BF371">
      <w:pPr>
        <w:pStyle w:val="96"/>
        <w:numPr>
          <w:ilvl w:val="0"/>
          <w:numId w:val="7"/>
        </w:numPr>
        <w:adjustRightInd w:val="0"/>
        <w:snapToGrid w:val="0"/>
        <w:spacing w:line="288" w:lineRule="auto"/>
        <w:ind w:firstLineChars="0"/>
        <w:rPr>
          <w:rFonts w:ascii="宋体" w:hAnsi="宋体" w:cs="宋体"/>
          <w:bCs/>
          <w:color w:val="auto"/>
          <w:sz w:val="24"/>
          <w:szCs w:val="24"/>
          <w:highlight w:val="none"/>
        </w:rPr>
      </w:pPr>
      <w:r>
        <w:rPr>
          <w:rFonts w:hint="eastAsia" w:ascii="宋体" w:hAnsi="宋体" w:cs="宋体"/>
          <w:bCs/>
          <w:color w:val="auto"/>
          <w:sz w:val="24"/>
          <w:szCs w:val="24"/>
          <w:highlight w:val="none"/>
        </w:rPr>
        <w:t>根据《中华人民共和国政府采购法实施条例》的规定，本公司（企业）如为招标项目提供整体设计、规范编制或者项目管理、监理、检测等服务的供应商，不再参加该招标项目的其他招标活动。</w:t>
      </w:r>
    </w:p>
    <w:p w14:paraId="4A33AA7D">
      <w:pPr>
        <w:adjustRightInd w:val="0"/>
        <w:snapToGrid w:val="0"/>
        <w:spacing w:line="288" w:lineRule="auto"/>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单位负责人为同一人或者存在直接控股、管理关系的不同供应商，不得参加同一合同项下的政府采购活动；</w:t>
      </w:r>
      <w:r>
        <w:rPr>
          <w:rFonts w:hint="eastAsia" w:ascii="宋体" w:hAnsi="宋体" w:cs="宋体"/>
          <w:color w:val="auto"/>
          <w:sz w:val="24"/>
          <w:szCs w:val="24"/>
          <w:highlight w:val="none"/>
          <w:lang w:val="zh-CN"/>
        </w:rPr>
        <w:t>为采购项目提供整体设计、规范编制或者项目管理、监理、检测等服务的供应商，不得再参加本采购项目的其他采购活动</w:t>
      </w:r>
      <w:r>
        <w:rPr>
          <w:rFonts w:hint="eastAsia" w:ascii="宋体" w:hAnsi="宋体" w:cs="宋体"/>
          <w:color w:val="auto"/>
          <w:sz w:val="24"/>
          <w:szCs w:val="24"/>
          <w:highlight w:val="none"/>
        </w:rPr>
        <w:t>；</w:t>
      </w:r>
    </w:p>
    <w:p w14:paraId="6EC96856">
      <w:pPr>
        <w:adjustRightInd w:val="0"/>
        <w:snapToGrid w:val="0"/>
        <w:spacing w:line="288" w:lineRule="auto"/>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本公司（企业）承诺在本次招标活动中，如有违法、违规、弄虚作假行为，所造成的损失、不良后果及法律责任，一律由我公司（企业）承担。</w:t>
      </w:r>
    </w:p>
    <w:p w14:paraId="60B20791">
      <w:pPr>
        <w:adjustRightInd w:val="0"/>
        <w:snapToGrid w:val="0"/>
        <w:spacing w:line="288"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特此声明！</w:t>
      </w:r>
    </w:p>
    <w:p w14:paraId="3C496174">
      <w:pPr>
        <w:adjustRightInd w:val="0"/>
        <w:snapToGrid w:val="0"/>
        <w:spacing w:before="240" w:beforeLines="100" w:line="288" w:lineRule="auto"/>
        <w:ind w:firstLine="420"/>
        <w:rPr>
          <w:rFonts w:ascii="宋体" w:hAnsi="宋体" w:cs="宋体"/>
          <w:b/>
          <w:color w:val="auto"/>
          <w:sz w:val="24"/>
          <w:szCs w:val="24"/>
          <w:highlight w:val="none"/>
        </w:rPr>
      </w:pPr>
      <w:r>
        <w:rPr>
          <w:rFonts w:hint="eastAsia" w:ascii="宋体" w:hAnsi="宋体" w:cs="宋体"/>
          <w:b/>
          <w:color w:val="auto"/>
          <w:sz w:val="24"/>
          <w:szCs w:val="24"/>
          <w:highlight w:val="none"/>
        </w:rPr>
        <w:t>备注：1.本声明函必须提供且内容不得擅自删改，否则视为无效投标。</w:t>
      </w:r>
    </w:p>
    <w:p w14:paraId="33EADD2A">
      <w:pPr>
        <w:adjustRightInd w:val="0"/>
        <w:snapToGrid w:val="0"/>
        <w:spacing w:line="288" w:lineRule="auto"/>
        <w:ind w:firstLine="1301" w:firstLineChars="540"/>
        <w:rPr>
          <w:rFonts w:ascii="宋体" w:hAnsi="宋体" w:cs="宋体"/>
          <w:b/>
          <w:color w:val="auto"/>
          <w:sz w:val="24"/>
          <w:szCs w:val="24"/>
          <w:highlight w:val="none"/>
        </w:rPr>
      </w:pPr>
      <w:r>
        <w:rPr>
          <w:rFonts w:hint="eastAsia" w:ascii="宋体" w:hAnsi="宋体" w:cs="宋体"/>
          <w:b/>
          <w:color w:val="auto"/>
          <w:sz w:val="24"/>
          <w:szCs w:val="24"/>
          <w:highlight w:val="none"/>
        </w:rPr>
        <w:t>2.本声明函如有虚假或与事实不符的，作无效投标处理。</w:t>
      </w:r>
    </w:p>
    <w:p w14:paraId="6147E347">
      <w:pPr>
        <w:adjustRightInd w:val="0"/>
        <w:snapToGrid w:val="0"/>
        <w:spacing w:after="120" w:afterLines="50" w:line="288" w:lineRule="auto"/>
        <w:rPr>
          <w:rFonts w:ascii="宋体" w:hAnsi="宋体" w:cs="宋体"/>
          <w:b/>
          <w:color w:val="auto"/>
          <w:sz w:val="24"/>
          <w:szCs w:val="24"/>
          <w:highlight w:val="none"/>
        </w:rPr>
      </w:pPr>
    </w:p>
    <w:p w14:paraId="04939D95">
      <w:pPr>
        <w:adjustRightInd w:val="0"/>
        <w:snapToGrid w:val="0"/>
        <w:spacing w:after="120" w:afterLines="50" w:line="288" w:lineRule="auto"/>
        <w:rPr>
          <w:rFonts w:ascii="宋体" w:hAnsi="宋体" w:cs="宋体"/>
          <w:b/>
          <w:color w:val="auto"/>
          <w:sz w:val="24"/>
          <w:szCs w:val="24"/>
          <w:highlight w:val="none"/>
        </w:rPr>
      </w:pPr>
    </w:p>
    <w:tbl>
      <w:tblPr>
        <w:tblStyle w:val="43"/>
        <w:tblW w:w="8528" w:type="dxa"/>
        <w:tblInd w:w="0" w:type="dxa"/>
        <w:tblLayout w:type="fixed"/>
        <w:tblCellMar>
          <w:top w:w="0" w:type="dxa"/>
          <w:left w:w="108" w:type="dxa"/>
          <w:bottom w:w="0" w:type="dxa"/>
          <w:right w:w="108" w:type="dxa"/>
        </w:tblCellMar>
      </w:tblPr>
      <w:tblGrid>
        <w:gridCol w:w="5353"/>
        <w:gridCol w:w="3175"/>
      </w:tblGrid>
      <w:tr w14:paraId="3C94EE79">
        <w:tblPrEx>
          <w:tblCellMar>
            <w:top w:w="0" w:type="dxa"/>
            <w:left w:w="108" w:type="dxa"/>
            <w:bottom w:w="0" w:type="dxa"/>
            <w:right w:w="108" w:type="dxa"/>
          </w:tblCellMar>
        </w:tblPrEx>
        <w:tc>
          <w:tcPr>
            <w:tcW w:w="5353" w:type="dxa"/>
            <w:shd w:val="clear" w:color="auto" w:fill="auto"/>
          </w:tcPr>
          <w:p w14:paraId="466B2E20">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c>
          <w:tcPr>
            <w:tcW w:w="3175" w:type="dxa"/>
            <w:shd w:val="clear" w:color="auto" w:fill="auto"/>
          </w:tcPr>
          <w:p w14:paraId="323D18A5">
            <w:pPr>
              <w:spacing w:line="288" w:lineRule="auto"/>
              <w:rPr>
                <w:rFonts w:ascii="宋体" w:hAnsi="宋体" w:cs="宋体"/>
                <w:color w:val="auto"/>
                <w:sz w:val="24"/>
                <w:szCs w:val="24"/>
                <w:highlight w:val="none"/>
              </w:rPr>
            </w:pPr>
          </w:p>
        </w:tc>
      </w:tr>
      <w:tr w14:paraId="17EFAACA">
        <w:tblPrEx>
          <w:tblCellMar>
            <w:top w:w="0" w:type="dxa"/>
            <w:left w:w="108" w:type="dxa"/>
            <w:bottom w:w="0" w:type="dxa"/>
            <w:right w:w="108" w:type="dxa"/>
          </w:tblCellMar>
        </w:tblPrEx>
        <w:tc>
          <w:tcPr>
            <w:tcW w:w="5353" w:type="dxa"/>
            <w:shd w:val="clear" w:color="auto" w:fill="auto"/>
          </w:tcPr>
          <w:p w14:paraId="366C1709">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法定代表人（签字）：</w:t>
            </w:r>
          </w:p>
        </w:tc>
        <w:tc>
          <w:tcPr>
            <w:tcW w:w="3175" w:type="dxa"/>
            <w:shd w:val="clear" w:color="auto" w:fill="auto"/>
          </w:tcPr>
          <w:p w14:paraId="3430845E">
            <w:pPr>
              <w:spacing w:line="288" w:lineRule="auto"/>
              <w:rPr>
                <w:rFonts w:ascii="宋体" w:hAnsi="宋体" w:cs="宋体"/>
                <w:color w:val="auto"/>
                <w:sz w:val="24"/>
                <w:szCs w:val="24"/>
                <w:highlight w:val="none"/>
              </w:rPr>
            </w:pPr>
          </w:p>
        </w:tc>
      </w:tr>
      <w:tr w14:paraId="71BA436B">
        <w:tc>
          <w:tcPr>
            <w:tcW w:w="5353" w:type="dxa"/>
            <w:shd w:val="clear" w:color="auto" w:fill="auto"/>
          </w:tcPr>
          <w:p w14:paraId="7D9D283F">
            <w:pPr>
              <w:spacing w:line="288" w:lineRule="auto"/>
              <w:rPr>
                <w:rFonts w:ascii="宋体" w:hAnsi="宋体" w:cs="宋体"/>
                <w:color w:val="auto"/>
                <w:sz w:val="24"/>
                <w:szCs w:val="24"/>
                <w:highlight w:val="none"/>
              </w:rPr>
            </w:pPr>
          </w:p>
          <w:p w14:paraId="15DA2CAF">
            <w:pPr>
              <w:spacing w:line="288" w:lineRule="auto"/>
              <w:rPr>
                <w:rFonts w:ascii="宋体" w:hAnsi="宋体" w:cs="宋体"/>
                <w:color w:val="auto"/>
                <w:sz w:val="24"/>
                <w:szCs w:val="24"/>
                <w:highlight w:val="none"/>
              </w:rPr>
            </w:pPr>
          </w:p>
          <w:p w14:paraId="7BE3B111">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tc>
        <w:tc>
          <w:tcPr>
            <w:tcW w:w="3175" w:type="dxa"/>
            <w:shd w:val="clear" w:color="auto" w:fill="auto"/>
          </w:tcPr>
          <w:p w14:paraId="700DB2E2">
            <w:pPr>
              <w:spacing w:line="288" w:lineRule="auto"/>
              <w:rPr>
                <w:rFonts w:ascii="宋体" w:hAnsi="宋体" w:cs="宋体"/>
                <w:color w:val="auto"/>
                <w:sz w:val="24"/>
                <w:szCs w:val="24"/>
                <w:highlight w:val="none"/>
              </w:rPr>
            </w:pPr>
          </w:p>
        </w:tc>
      </w:tr>
    </w:tbl>
    <w:p w14:paraId="336A1FAB">
      <w:pPr>
        <w:spacing w:before="480" w:beforeLines="200" w:after="360" w:afterLines="150" w:line="288" w:lineRule="auto"/>
        <w:jc w:val="center"/>
        <w:rPr>
          <w:rFonts w:ascii="宋体" w:hAnsi="宋体" w:cs="宋体"/>
          <w:b/>
          <w:color w:val="auto"/>
          <w:spacing w:val="20"/>
          <w:sz w:val="24"/>
          <w:szCs w:val="24"/>
          <w:highlight w:val="none"/>
        </w:rPr>
      </w:pPr>
    </w:p>
    <w:p w14:paraId="2806F52C">
      <w:pPr>
        <w:rPr>
          <w:rFonts w:ascii="宋体" w:hAnsi="宋体" w:cs="宋体"/>
          <w:b/>
          <w:color w:val="auto"/>
          <w:spacing w:val="20"/>
          <w:sz w:val="30"/>
          <w:szCs w:val="30"/>
          <w:highlight w:val="none"/>
        </w:rPr>
      </w:pPr>
      <w:r>
        <w:rPr>
          <w:rFonts w:hint="eastAsia" w:ascii="宋体" w:hAnsi="宋体" w:cs="宋体"/>
          <w:b/>
          <w:color w:val="auto"/>
          <w:spacing w:val="20"/>
          <w:sz w:val="30"/>
          <w:szCs w:val="30"/>
          <w:highlight w:val="none"/>
        </w:rPr>
        <w:br w:type="page"/>
      </w:r>
    </w:p>
    <w:p w14:paraId="7B273CCE">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十一、</w:t>
      </w:r>
      <w:r>
        <w:rPr>
          <w:rFonts w:hint="eastAsia" w:ascii="宋体" w:hAnsi="宋体" w:cs="宋体"/>
          <w:b/>
          <w:color w:val="auto"/>
          <w:sz w:val="36"/>
          <w:szCs w:val="36"/>
          <w:highlight w:val="none"/>
          <w:lang w:val="en-US" w:eastAsia="zh-CN"/>
        </w:rPr>
        <w:t>采购需求</w:t>
      </w:r>
      <w:r>
        <w:rPr>
          <w:rFonts w:hint="eastAsia" w:ascii="宋体" w:hAnsi="宋体" w:cs="宋体"/>
          <w:b/>
          <w:color w:val="auto"/>
          <w:sz w:val="36"/>
          <w:szCs w:val="36"/>
          <w:highlight w:val="none"/>
        </w:rPr>
        <w:t>偏离表</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技术要求</w:t>
      </w:r>
      <w:r>
        <w:rPr>
          <w:rFonts w:hint="eastAsia" w:ascii="宋体" w:hAnsi="宋体" w:cs="宋体"/>
          <w:b/>
          <w:color w:val="auto"/>
          <w:sz w:val="36"/>
          <w:szCs w:val="36"/>
          <w:highlight w:val="none"/>
          <w:lang w:eastAsia="zh-CN"/>
        </w:rPr>
        <w:t>）</w:t>
      </w:r>
    </w:p>
    <w:tbl>
      <w:tblPr>
        <w:tblStyle w:val="43"/>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379"/>
        <w:gridCol w:w="1500"/>
        <w:gridCol w:w="2056"/>
      </w:tblGrid>
      <w:tr w14:paraId="1AE7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7" w:type="dxa"/>
            <w:gridSpan w:val="5"/>
            <w:vAlign w:val="center"/>
          </w:tcPr>
          <w:p w14:paraId="4D0E3B3A">
            <w:pPr>
              <w:spacing w:line="288" w:lineRule="auto"/>
              <w:rPr>
                <w:rFonts w:ascii="宋体" w:hAnsi="宋体" w:cs="宋体"/>
                <w:b/>
                <w:color w:val="auto"/>
                <w:sz w:val="24"/>
                <w:szCs w:val="24"/>
                <w:highlight w:val="none"/>
              </w:rPr>
            </w:pPr>
            <w:r>
              <w:rPr>
                <w:rFonts w:hint="eastAsia" w:ascii="宋体" w:hAnsi="宋体" w:cs="宋体"/>
                <w:b/>
                <w:bCs/>
                <w:color w:val="auto"/>
                <w:sz w:val="24"/>
                <w:szCs w:val="24"/>
                <w:highlight w:val="none"/>
              </w:rPr>
              <w:t xml:space="preserve">项目名称：                                         </w:t>
            </w:r>
            <w:r>
              <w:rPr>
                <w:rFonts w:hint="eastAsia" w:ascii="宋体" w:hAnsi="宋体" w:cs="宋体"/>
                <w:b/>
                <w:color w:val="auto"/>
                <w:sz w:val="24"/>
                <w:szCs w:val="24"/>
                <w:highlight w:val="none"/>
              </w:rPr>
              <w:t>项目编号：</w:t>
            </w:r>
          </w:p>
        </w:tc>
      </w:tr>
      <w:tr w14:paraId="4C58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144CFAFC">
            <w:pPr>
              <w:spacing w:line="288"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2352" w:type="dxa"/>
            <w:vAlign w:val="center"/>
          </w:tcPr>
          <w:p w14:paraId="1AB2471F">
            <w:pPr>
              <w:spacing w:line="288"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招标文件要求</w:t>
            </w:r>
          </w:p>
        </w:tc>
        <w:tc>
          <w:tcPr>
            <w:tcW w:w="2379" w:type="dxa"/>
            <w:vAlign w:val="center"/>
          </w:tcPr>
          <w:p w14:paraId="273FC962">
            <w:pPr>
              <w:spacing w:line="288" w:lineRule="auto"/>
              <w:jc w:val="center"/>
              <w:rPr>
                <w:rFonts w:ascii="宋体" w:hAnsi="宋体" w:cs="宋体"/>
                <w:b/>
                <w:color w:val="auto"/>
                <w:sz w:val="24"/>
                <w:szCs w:val="24"/>
                <w:highlight w:val="none"/>
              </w:rPr>
            </w:pPr>
            <w:r>
              <w:rPr>
                <w:rFonts w:hint="eastAsia" w:ascii="宋体" w:hAnsi="宋体" w:cs="宋体"/>
                <w:b/>
                <w:bCs/>
                <w:color w:val="auto"/>
                <w:sz w:val="24"/>
                <w:szCs w:val="24"/>
                <w:highlight w:val="none"/>
              </w:rPr>
              <w:t>投标文件响应内容</w:t>
            </w:r>
          </w:p>
        </w:tc>
        <w:tc>
          <w:tcPr>
            <w:tcW w:w="1500" w:type="dxa"/>
            <w:vAlign w:val="center"/>
          </w:tcPr>
          <w:p w14:paraId="47E80D2F">
            <w:pPr>
              <w:spacing w:line="288" w:lineRule="auto"/>
              <w:ind w:left="335" w:hanging="335" w:hangingChars="139"/>
              <w:jc w:val="center"/>
              <w:rPr>
                <w:rFonts w:ascii="宋体" w:hAnsi="宋体" w:cs="宋体"/>
                <w:b/>
                <w:color w:val="auto"/>
                <w:sz w:val="24"/>
                <w:szCs w:val="24"/>
                <w:highlight w:val="none"/>
              </w:rPr>
            </w:pPr>
            <w:r>
              <w:rPr>
                <w:rFonts w:hint="eastAsia" w:ascii="宋体" w:hAnsi="宋体" w:cs="宋体"/>
                <w:b/>
                <w:color w:val="auto"/>
                <w:sz w:val="24"/>
                <w:szCs w:val="24"/>
                <w:highlight w:val="none"/>
              </w:rPr>
              <w:t>偏离情况</w:t>
            </w:r>
          </w:p>
        </w:tc>
        <w:tc>
          <w:tcPr>
            <w:tcW w:w="2056" w:type="dxa"/>
            <w:vAlign w:val="center"/>
          </w:tcPr>
          <w:p w14:paraId="1A08A84C">
            <w:pPr>
              <w:spacing w:line="288"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说明</w:t>
            </w:r>
          </w:p>
        </w:tc>
      </w:tr>
      <w:tr w14:paraId="17C3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7C987E6F">
            <w:pPr>
              <w:spacing w:line="288" w:lineRule="auto"/>
              <w:jc w:val="center"/>
              <w:rPr>
                <w:rFonts w:ascii="宋体" w:hAnsi="宋体" w:cs="宋体"/>
                <w:color w:val="auto"/>
                <w:sz w:val="24"/>
                <w:szCs w:val="24"/>
                <w:highlight w:val="none"/>
              </w:rPr>
            </w:pPr>
          </w:p>
        </w:tc>
        <w:tc>
          <w:tcPr>
            <w:tcW w:w="2352" w:type="dxa"/>
            <w:vAlign w:val="center"/>
          </w:tcPr>
          <w:p w14:paraId="21372E87">
            <w:pPr>
              <w:spacing w:line="288" w:lineRule="auto"/>
              <w:jc w:val="center"/>
              <w:rPr>
                <w:rFonts w:ascii="宋体" w:hAnsi="宋体" w:cs="宋体"/>
                <w:color w:val="auto"/>
                <w:sz w:val="24"/>
                <w:szCs w:val="24"/>
                <w:highlight w:val="none"/>
              </w:rPr>
            </w:pPr>
          </w:p>
        </w:tc>
        <w:tc>
          <w:tcPr>
            <w:tcW w:w="2379" w:type="dxa"/>
            <w:vAlign w:val="center"/>
          </w:tcPr>
          <w:p w14:paraId="7A5D1AE9">
            <w:pPr>
              <w:spacing w:line="288" w:lineRule="auto"/>
              <w:jc w:val="center"/>
              <w:rPr>
                <w:rFonts w:ascii="宋体" w:hAnsi="宋体" w:cs="宋体"/>
                <w:color w:val="auto"/>
                <w:sz w:val="24"/>
                <w:szCs w:val="24"/>
                <w:highlight w:val="none"/>
              </w:rPr>
            </w:pPr>
          </w:p>
        </w:tc>
        <w:tc>
          <w:tcPr>
            <w:tcW w:w="1500" w:type="dxa"/>
            <w:vAlign w:val="center"/>
          </w:tcPr>
          <w:p w14:paraId="5FFED1D2">
            <w:pPr>
              <w:spacing w:line="288" w:lineRule="auto"/>
              <w:jc w:val="center"/>
              <w:rPr>
                <w:rFonts w:ascii="宋体" w:hAnsi="宋体" w:cs="宋体"/>
                <w:color w:val="auto"/>
                <w:sz w:val="24"/>
                <w:szCs w:val="24"/>
                <w:highlight w:val="none"/>
              </w:rPr>
            </w:pPr>
          </w:p>
        </w:tc>
        <w:tc>
          <w:tcPr>
            <w:tcW w:w="2056" w:type="dxa"/>
            <w:vAlign w:val="center"/>
          </w:tcPr>
          <w:p w14:paraId="7413577D">
            <w:pPr>
              <w:spacing w:line="288" w:lineRule="auto"/>
              <w:jc w:val="center"/>
              <w:rPr>
                <w:rFonts w:ascii="宋体" w:hAnsi="宋体" w:cs="宋体"/>
                <w:color w:val="auto"/>
                <w:sz w:val="24"/>
                <w:szCs w:val="24"/>
                <w:highlight w:val="none"/>
              </w:rPr>
            </w:pPr>
          </w:p>
        </w:tc>
      </w:tr>
      <w:tr w14:paraId="356F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7ECA19CB">
            <w:pPr>
              <w:spacing w:line="288" w:lineRule="auto"/>
              <w:jc w:val="center"/>
              <w:rPr>
                <w:rFonts w:ascii="宋体" w:hAnsi="宋体" w:cs="宋体"/>
                <w:color w:val="auto"/>
                <w:sz w:val="24"/>
                <w:szCs w:val="24"/>
                <w:highlight w:val="none"/>
              </w:rPr>
            </w:pPr>
          </w:p>
        </w:tc>
        <w:tc>
          <w:tcPr>
            <w:tcW w:w="2352" w:type="dxa"/>
            <w:vAlign w:val="center"/>
          </w:tcPr>
          <w:p w14:paraId="2097F7B9">
            <w:pPr>
              <w:spacing w:line="288" w:lineRule="auto"/>
              <w:jc w:val="center"/>
              <w:rPr>
                <w:rFonts w:ascii="宋体" w:hAnsi="宋体" w:cs="宋体"/>
                <w:color w:val="auto"/>
                <w:sz w:val="24"/>
                <w:szCs w:val="24"/>
                <w:highlight w:val="none"/>
              </w:rPr>
            </w:pPr>
          </w:p>
        </w:tc>
        <w:tc>
          <w:tcPr>
            <w:tcW w:w="2379" w:type="dxa"/>
            <w:vAlign w:val="center"/>
          </w:tcPr>
          <w:p w14:paraId="5419EC4F">
            <w:pPr>
              <w:spacing w:line="288" w:lineRule="auto"/>
              <w:jc w:val="center"/>
              <w:rPr>
                <w:rFonts w:ascii="宋体" w:hAnsi="宋体" w:cs="宋体"/>
                <w:color w:val="auto"/>
                <w:sz w:val="24"/>
                <w:szCs w:val="24"/>
                <w:highlight w:val="none"/>
              </w:rPr>
            </w:pPr>
          </w:p>
        </w:tc>
        <w:tc>
          <w:tcPr>
            <w:tcW w:w="1500" w:type="dxa"/>
            <w:vAlign w:val="center"/>
          </w:tcPr>
          <w:p w14:paraId="498A7754">
            <w:pPr>
              <w:spacing w:line="288" w:lineRule="auto"/>
              <w:jc w:val="center"/>
              <w:rPr>
                <w:rFonts w:ascii="宋体" w:hAnsi="宋体" w:cs="宋体"/>
                <w:color w:val="auto"/>
                <w:sz w:val="24"/>
                <w:szCs w:val="24"/>
                <w:highlight w:val="none"/>
              </w:rPr>
            </w:pPr>
          </w:p>
        </w:tc>
        <w:tc>
          <w:tcPr>
            <w:tcW w:w="2056" w:type="dxa"/>
            <w:vAlign w:val="center"/>
          </w:tcPr>
          <w:p w14:paraId="0B349933">
            <w:pPr>
              <w:spacing w:line="288" w:lineRule="auto"/>
              <w:jc w:val="center"/>
              <w:rPr>
                <w:rFonts w:ascii="宋体" w:hAnsi="宋体" w:cs="宋体"/>
                <w:color w:val="auto"/>
                <w:sz w:val="24"/>
                <w:szCs w:val="24"/>
                <w:highlight w:val="none"/>
              </w:rPr>
            </w:pPr>
          </w:p>
        </w:tc>
      </w:tr>
      <w:tr w14:paraId="1814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7034E73F">
            <w:pPr>
              <w:spacing w:line="288" w:lineRule="auto"/>
              <w:jc w:val="center"/>
              <w:rPr>
                <w:rFonts w:ascii="宋体" w:hAnsi="宋体" w:cs="宋体"/>
                <w:color w:val="auto"/>
                <w:sz w:val="24"/>
                <w:szCs w:val="24"/>
                <w:highlight w:val="none"/>
              </w:rPr>
            </w:pPr>
          </w:p>
        </w:tc>
        <w:tc>
          <w:tcPr>
            <w:tcW w:w="2352" w:type="dxa"/>
            <w:vAlign w:val="center"/>
          </w:tcPr>
          <w:p w14:paraId="66BCD41D">
            <w:pPr>
              <w:spacing w:line="288" w:lineRule="auto"/>
              <w:jc w:val="center"/>
              <w:rPr>
                <w:rFonts w:ascii="宋体" w:hAnsi="宋体" w:cs="宋体"/>
                <w:color w:val="auto"/>
                <w:sz w:val="24"/>
                <w:szCs w:val="24"/>
                <w:highlight w:val="none"/>
              </w:rPr>
            </w:pPr>
          </w:p>
        </w:tc>
        <w:tc>
          <w:tcPr>
            <w:tcW w:w="2379" w:type="dxa"/>
            <w:vAlign w:val="center"/>
          </w:tcPr>
          <w:p w14:paraId="1F73C09D">
            <w:pPr>
              <w:spacing w:line="288" w:lineRule="auto"/>
              <w:jc w:val="center"/>
              <w:rPr>
                <w:rFonts w:ascii="宋体" w:hAnsi="宋体" w:cs="宋体"/>
                <w:color w:val="auto"/>
                <w:sz w:val="24"/>
                <w:szCs w:val="24"/>
                <w:highlight w:val="none"/>
              </w:rPr>
            </w:pPr>
          </w:p>
        </w:tc>
        <w:tc>
          <w:tcPr>
            <w:tcW w:w="1500" w:type="dxa"/>
            <w:vAlign w:val="center"/>
          </w:tcPr>
          <w:p w14:paraId="18732927">
            <w:pPr>
              <w:spacing w:line="288" w:lineRule="auto"/>
              <w:jc w:val="center"/>
              <w:rPr>
                <w:rFonts w:ascii="宋体" w:hAnsi="宋体" w:cs="宋体"/>
                <w:color w:val="auto"/>
                <w:sz w:val="24"/>
                <w:szCs w:val="24"/>
                <w:highlight w:val="none"/>
              </w:rPr>
            </w:pPr>
          </w:p>
        </w:tc>
        <w:tc>
          <w:tcPr>
            <w:tcW w:w="2056" w:type="dxa"/>
            <w:vAlign w:val="center"/>
          </w:tcPr>
          <w:p w14:paraId="3CEF23E6">
            <w:pPr>
              <w:spacing w:line="288" w:lineRule="auto"/>
              <w:jc w:val="center"/>
              <w:rPr>
                <w:rFonts w:ascii="宋体" w:hAnsi="宋体" w:cs="宋体"/>
                <w:color w:val="auto"/>
                <w:sz w:val="24"/>
                <w:szCs w:val="24"/>
                <w:highlight w:val="none"/>
              </w:rPr>
            </w:pPr>
          </w:p>
        </w:tc>
      </w:tr>
      <w:tr w14:paraId="7710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78ED112A">
            <w:pPr>
              <w:spacing w:line="288" w:lineRule="auto"/>
              <w:jc w:val="center"/>
              <w:rPr>
                <w:rFonts w:ascii="宋体" w:hAnsi="宋体" w:cs="宋体"/>
                <w:color w:val="auto"/>
                <w:sz w:val="24"/>
                <w:szCs w:val="24"/>
                <w:highlight w:val="none"/>
              </w:rPr>
            </w:pPr>
          </w:p>
        </w:tc>
        <w:tc>
          <w:tcPr>
            <w:tcW w:w="2352" w:type="dxa"/>
            <w:vAlign w:val="center"/>
          </w:tcPr>
          <w:p w14:paraId="792FB941">
            <w:pPr>
              <w:spacing w:line="288" w:lineRule="auto"/>
              <w:jc w:val="center"/>
              <w:rPr>
                <w:rFonts w:ascii="宋体" w:hAnsi="宋体" w:cs="宋体"/>
                <w:color w:val="auto"/>
                <w:sz w:val="24"/>
                <w:szCs w:val="24"/>
                <w:highlight w:val="none"/>
              </w:rPr>
            </w:pPr>
          </w:p>
        </w:tc>
        <w:tc>
          <w:tcPr>
            <w:tcW w:w="2379" w:type="dxa"/>
            <w:vAlign w:val="center"/>
          </w:tcPr>
          <w:p w14:paraId="48D1A25B">
            <w:pPr>
              <w:spacing w:line="288" w:lineRule="auto"/>
              <w:jc w:val="center"/>
              <w:rPr>
                <w:rFonts w:ascii="宋体" w:hAnsi="宋体" w:cs="宋体"/>
                <w:color w:val="auto"/>
                <w:sz w:val="24"/>
                <w:szCs w:val="24"/>
                <w:highlight w:val="none"/>
              </w:rPr>
            </w:pPr>
          </w:p>
        </w:tc>
        <w:tc>
          <w:tcPr>
            <w:tcW w:w="1500" w:type="dxa"/>
            <w:vAlign w:val="center"/>
          </w:tcPr>
          <w:p w14:paraId="557DC652">
            <w:pPr>
              <w:spacing w:line="288" w:lineRule="auto"/>
              <w:jc w:val="center"/>
              <w:rPr>
                <w:rFonts w:ascii="宋体" w:hAnsi="宋体" w:cs="宋体"/>
                <w:color w:val="auto"/>
                <w:sz w:val="24"/>
                <w:szCs w:val="24"/>
                <w:highlight w:val="none"/>
              </w:rPr>
            </w:pPr>
          </w:p>
        </w:tc>
        <w:tc>
          <w:tcPr>
            <w:tcW w:w="2056" w:type="dxa"/>
            <w:vAlign w:val="center"/>
          </w:tcPr>
          <w:p w14:paraId="2C188F81">
            <w:pPr>
              <w:spacing w:line="288" w:lineRule="auto"/>
              <w:jc w:val="center"/>
              <w:rPr>
                <w:rFonts w:ascii="宋体" w:hAnsi="宋体" w:cs="宋体"/>
                <w:color w:val="auto"/>
                <w:sz w:val="24"/>
                <w:szCs w:val="24"/>
                <w:highlight w:val="none"/>
              </w:rPr>
            </w:pPr>
          </w:p>
        </w:tc>
      </w:tr>
      <w:tr w14:paraId="4E7B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3D5AE42C">
            <w:pPr>
              <w:spacing w:line="288" w:lineRule="auto"/>
              <w:jc w:val="center"/>
              <w:rPr>
                <w:rFonts w:ascii="宋体" w:hAnsi="宋体" w:cs="宋体"/>
                <w:color w:val="auto"/>
                <w:sz w:val="24"/>
                <w:szCs w:val="24"/>
                <w:highlight w:val="none"/>
              </w:rPr>
            </w:pPr>
          </w:p>
        </w:tc>
        <w:tc>
          <w:tcPr>
            <w:tcW w:w="2352" w:type="dxa"/>
            <w:vAlign w:val="center"/>
          </w:tcPr>
          <w:p w14:paraId="19A774FE">
            <w:pPr>
              <w:spacing w:line="288" w:lineRule="auto"/>
              <w:jc w:val="center"/>
              <w:rPr>
                <w:rFonts w:ascii="宋体" w:hAnsi="宋体" w:cs="宋体"/>
                <w:color w:val="auto"/>
                <w:sz w:val="24"/>
                <w:szCs w:val="24"/>
                <w:highlight w:val="none"/>
              </w:rPr>
            </w:pPr>
          </w:p>
        </w:tc>
        <w:tc>
          <w:tcPr>
            <w:tcW w:w="2379" w:type="dxa"/>
            <w:vAlign w:val="center"/>
          </w:tcPr>
          <w:p w14:paraId="7239B377">
            <w:pPr>
              <w:spacing w:line="288" w:lineRule="auto"/>
              <w:jc w:val="center"/>
              <w:rPr>
                <w:rFonts w:ascii="宋体" w:hAnsi="宋体" w:cs="宋体"/>
                <w:color w:val="auto"/>
                <w:sz w:val="24"/>
                <w:szCs w:val="24"/>
                <w:highlight w:val="none"/>
              </w:rPr>
            </w:pPr>
          </w:p>
        </w:tc>
        <w:tc>
          <w:tcPr>
            <w:tcW w:w="1500" w:type="dxa"/>
            <w:vAlign w:val="center"/>
          </w:tcPr>
          <w:p w14:paraId="2C49A661">
            <w:pPr>
              <w:spacing w:line="288" w:lineRule="auto"/>
              <w:jc w:val="center"/>
              <w:rPr>
                <w:rFonts w:ascii="宋体" w:hAnsi="宋体" w:cs="宋体"/>
                <w:color w:val="auto"/>
                <w:sz w:val="24"/>
                <w:szCs w:val="24"/>
                <w:highlight w:val="none"/>
              </w:rPr>
            </w:pPr>
          </w:p>
        </w:tc>
        <w:tc>
          <w:tcPr>
            <w:tcW w:w="2056" w:type="dxa"/>
            <w:vAlign w:val="center"/>
          </w:tcPr>
          <w:p w14:paraId="09A66333">
            <w:pPr>
              <w:spacing w:line="288" w:lineRule="auto"/>
              <w:jc w:val="center"/>
              <w:rPr>
                <w:rFonts w:ascii="宋体" w:hAnsi="宋体" w:cs="宋体"/>
                <w:color w:val="auto"/>
                <w:sz w:val="24"/>
                <w:szCs w:val="24"/>
                <w:highlight w:val="none"/>
              </w:rPr>
            </w:pPr>
          </w:p>
        </w:tc>
      </w:tr>
    </w:tbl>
    <w:p w14:paraId="498797A3">
      <w:pPr>
        <w:spacing w:before="120" w:beforeLines="50" w:line="288" w:lineRule="auto"/>
        <w:rPr>
          <w:rFonts w:ascii="宋体" w:hAnsi="宋体" w:cs="宋体"/>
          <w:color w:val="auto"/>
          <w:sz w:val="24"/>
          <w:szCs w:val="24"/>
          <w:highlight w:val="none"/>
        </w:rPr>
      </w:pPr>
      <w:r>
        <w:rPr>
          <w:rFonts w:hint="eastAsia" w:ascii="宋体" w:hAnsi="宋体" w:cs="宋体"/>
          <w:color w:val="auto"/>
          <w:sz w:val="24"/>
          <w:szCs w:val="24"/>
          <w:highlight w:val="none"/>
        </w:rPr>
        <w:t>注明：</w:t>
      </w:r>
    </w:p>
    <w:p w14:paraId="3F8D74B8">
      <w:pPr>
        <w:pStyle w:val="96"/>
        <w:numPr>
          <w:ilvl w:val="0"/>
          <w:numId w:val="8"/>
        </w:numPr>
        <w:spacing w:line="288"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偏离情况项填写“正”、“负”或“无”，说明项中填写原因。</w:t>
      </w:r>
    </w:p>
    <w:p w14:paraId="128BFF45">
      <w:pPr>
        <w:pStyle w:val="96"/>
        <w:numPr>
          <w:ilvl w:val="0"/>
          <w:numId w:val="8"/>
        </w:numPr>
        <w:spacing w:line="288"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供应商应按照招标文件要求作出全面响应。对响应有偏离的，则说明偏离的内容。若有要求提供相关证明资料的，须按要求提供，否则视为负偏离。</w:t>
      </w:r>
    </w:p>
    <w:p w14:paraId="2ADD08D9">
      <w:pPr>
        <w:spacing w:line="288" w:lineRule="auto"/>
        <w:rPr>
          <w:rFonts w:ascii="宋体" w:hAnsi="宋体" w:cs="宋体"/>
          <w:color w:val="auto"/>
          <w:sz w:val="24"/>
          <w:szCs w:val="24"/>
          <w:highlight w:val="none"/>
        </w:rPr>
      </w:pPr>
    </w:p>
    <w:p w14:paraId="7389EF33">
      <w:pPr>
        <w:spacing w:line="288" w:lineRule="auto"/>
        <w:rPr>
          <w:rFonts w:ascii="宋体" w:hAnsi="宋体" w:cs="宋体"/>
          <w:color w:val="auto"/>
          <w:sz w:val="24"/>
          <w:szCs w:val="24"/>
          <w:highlight w:val="none"/>
        </w:rPr>
      </w:pPr>
    </w:p>
    <w:p w14:paraId="195CCB3D">
      <w:pPr>
        <w:spacing w:line="288" w:lineRule="auto"/>
        <w:rPr>
          <w:rFonts w:ascii="宋体" w:hAnsi="宋体" w:cs="宋体"/>
          <w:color w:val="auto"/>
          <w:sz w:val="24"/>
          <w:szCs w:val="24"/>
          <w:highlight w:val="none"/>
        </w:rPr>
      </w:pPr>
    </w:p>
    <w:p w14:paraId="3CE6F212">
      <w:pPr>
        <w:spacing w:line="288" w:lineRule="auto"/>
        <w:rPr>
          <w:rFonts w:ascii="宋体" w:hAnsi="宋体" w:cs="宋体"/>
          <w:color w:val="auto"/>
          <w:sz w:val="24"/>
          <w:szCs w:val="24"/>
          <w:highlight w:val="none"/>
        </w:rPr>
      </w:pPr>
    </w:p>
    <w:p w14:paraId="1EAC57BB">
      <w:pPr>
        <w:spacing w:line="288" w:lineRule="auto"/>
        <w:rPr>
          <w:rFonts w:ascii="宋体" w:hAnsi="宋体" w:cs="宋体"/>
          <w:color w:val="auto"/>
          <w:sz w:val="24"/>
          <w:szCs w:val="24"/>
          <w:highlight w:val="none"/>
        </w:rPr>
      </w:pPr>
    </w:p>
    <w:tbl>
      <w:tblPr>
        <w:tblStyle w:val="43"/>
        <w:tblW w:w="8528" w:type="dxa"/>
        <w:tblInd w:w="0" w:type="dxa"/>
        <w:tblLayout w:type="fixed"/>
        <w:tblCellMar>
          <w:top w:w="0" w:type="dxa"/>
          <w:left w:w="108" w:type="dxa"/>
          <w:bottom w:w="0" w:type="dxa"/>
          <w:right w:w="108" w:type="dxa"/>
        </w:tblCellMar>
      </w:tblPr>
      <w:tblGrid>
        <w:gridCol w:w="5353"/>
        <w:gridCol w:w="3175"/>
      </w:tblGrid>
      <w:tr w14:paraId="483A24C7">
        <w:tblPrEx>
          <w:tblCellMar>
            <w:top w:w="0" w:type="dxa"/>
            <w:left w:w="108" w:type="dxa"/>
            <w:bottom w:w="0" w:type="dxa"/>
            <w:right w:w="108" w:type="dxa"/>
          </w:tblCellMar>
        </w:tblPrEx>
        <w:tc>
          <w:tcPr>
            <w:tcW w:w="5353" w:type="dxa"/>
            <w:shd w:val="clear" w:color="auto" w:fill="auto"/>
          </w:tcPr>
          <w:p w14:paraId="27FF646E">
            <w:pPr>
              <w:overflowPunct w:val="0"/>
              <w:adjustRightInd w:val="0"/>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c>
          <w:tcPr>
            <w:tcW w:w="3175" w:type="dxa"/>
            <w:shd w:val="clear" w:color="auto" w:fill="auto"/>
          </w:tcPr>
          <w:p w14:paraId="45EBBCEA">
            <w:pPr>
              <w:spacing w:line="288" w:lineRule="auto"/>
              <w:rPr>
                <w:rFonts w:ascii="宋体" w:hAnsi="宋体" w:cs="宋体"/>
                <w:color w:val="auto"/>
                <w:sz w:val="24"/>
                <w:szCs w:val="24"/>
                <w:highlight w:val="none"/>
              </w:rPr>
            </w:pPr>
          </w:p>
        </w:tc>
      </w:tr>
      <w:tr w14:paraId="73B7C472">
        <w:tblPrEx>
          <w:tblCellMar>
            <w:top w:w="0" w:type="dxa"/>
            <w:left w:w="108" w:type="dxa"/>
            <w:bottom w:w="0" w:type="dxa"/>
            <w:right w:w="108" w:type="dxa"/>
          </w:tblCellMar>
        </w:tblPrEx>
        <w:tc>
          <w:tcPr>
            <w:tcW w:w="5353" w:type="dxa"/>
            <w:shd w:val="clear" w:color="auto" w:fill="auto"/>
          </w:tcPr>
          <w:p w14:paraId="4240D5EA">
            <w:pPr>
              <w:spacing w:line="288" w:lineRule="auto"/>
              <w:rPr>
                <w:rFonts w:ascii="宋体" w:hAnsi="宋体" w:cs="宋体"/>
                <w:color w:val="auto"/>
                <w:sz w:val="24"/>
                <w:szCs w:val="24"/>
                <w:highlight w:val="none"/>
              </w:rPr>
            </w:pPr>
          </w:p>
          <w:p w14:paraId="03120729">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tc>
        <w:tc>
          <w:tcPr>
            <w:tcW w:w="3175" w:type="dxa"/>
            <w:shd w:val="clear" w:color="auto" w:fill="auto"/>
          </w:tcPr>
          <w:p w14:paraId="0AE888C4">
            <w:pPr>
              <w:spacing w:line="288" w:lineRule="auto"/>
              <w:rPr>
                <w:rFonts w:ascii="宋体" w:hAnsi="宋体" w:cs="宋体"/>
                <w:color w:val="auto"/>
                <w:sz w:val="24"/>
                <w:szCs w:val="24"/>
                <w:highlight w:val="none"/>
              </w:rPr>
            </w:pPr>
          </w:p>
        </w:tc>
      </w:tr>
    </w:tbl>
    <w:p w14:paraId="731B971E">
      <w:pPr>
        <w:spacing w:line="360" w:lineRule="auto"/>
        <w:rPr>
          <w:rFonts w:ascii="宋体" w:hAnsi="宋体" w:cs="宋体"/>
          <w:color w:val="auto"/>
          <w:szCs w:val="21"/>
          <w:highlight w:val="none"/>
        </w:rPr>
      </w:pPr>
    </w:p>
    <w:p w14:paraId="0CB719DC">
      <w:pPr>
        <w:spacing w:line="360" w:lineRule="auto"/>
        <w:rPr>
          <w:rFonts w:ascii="宋体" w:hAnsi="宋体" w:cs="宋体"/>
          <w:color w:val="auto"/>
          <w:szCs w:val="21"/>
          <w:highlight w:val="none"/>
        </w:rPr>
      </w:pPr>
    </w:p>
    <w:p w14:paraId="2140F311">
      <w:pPr>
        <w:rPr>
          <w:rStyle w:val="46"/>
          <w:rFonts w:ascii="宋体" w:hAnsi="宋体" w:cs="宋体"/>
          <w:bCs w:val="0"/>
          <w:color w:val="auto"/>
          <w:spacing w:val="12"/>
          <w:highlight w:val="none"/>
        </w:rPr>
      </w:pPr>
      <w:bookmarkStart w:id="73" w:name="_Toc494567328"/>
      <w:bookmarkStart w:id="74" w:name="_Toc3236439"/>
      <w:bookmarkStart w:id="75" w:name="_Toc405313974"/>
      <w:bookmarkStart w:id="76" w:name="_Toc391627770"/>
      <w:r>
        <w:rPr>
          <w:rStyle w:val="46"/>
          <w:rFonts w:hint="eastAsia" w:ascii="宋体" w:hAnsi="宋体" w:cs="宋体"/>
          <w:color w:val="auto"/>
          <w:spacing w:val="12"/>
          <w:highlight w:val="none"/>
        </w:rPr>
        <w:br w:type="page"/>
      </w:r>
    </w:p>
    <w:p w14:paraId="575AA626">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十二、技术参数承诺书</w:t>
      </w:r>
    </w:p>
    <w:p w14:paraId="5966D1CF">
      <w:pPr>
        <w:rPr>
          <w:rStyle w:val="46"/>
          <w:rFonts w:ascii="宋体" w:hAnsi="宋体" w:cs="宋体"/>
          <w:color w:val="auto"/>
          <w:spacing w:val="12"/>
          <w:highlight w:val="none"/>
        </w:rPr>
      </w:pPr>
    </w:p>
    <w:p w14:paraId="614393FC">
      <w:pPr>
        <w:spacing w:line="288" w:lineRule="auto"/>
        <w:rPr>
          <w:rStyle w:val="46"/>
          <w:rFonts w:ascii="宋体" w:hAnsi="宋体" w:cs="宋体"/>
          <w:b w:val="0"/>
          <w:color w:val="auto"/>
          <w:spacing w:val="12"/>
          <w:sz w:val="24"/>
          <w:szCs w:val="24"/>
          <w:highlight w:val="none"/>
        </w:rPr>
      </w:pPr>
      <w:r>
        <w:rPr>
          <w:rStyle w:val="46"/>
          <w:rFonts w:hint="eastAsia" w:ascii="宋体" w:hAnsi="宋体" w:cs="宋体"/>
          <w:color w:val="auto"/>
          <w:spacing w:val="12"/>
          <w:sz w:val="24"/>
          <w:szCs w:val="24"/>
          <w:highlight w:val="none"/>
        </w:rPr>
        <w:t>致：（采购人名称）</w:t>
      </w:r>
    </w:p>
    <w:p w14:paraId="2F758186">
      <w:pPr>
        <w:spacing w:line="288" w:lineRule="auto"/>
        <w:outlineLvl w:val="9"/>
        <w:rPr>
          <w:rStyle w:val="46"/>
          <w:rFonts w:ascii="宋体" w:hAnsi="宋体" w:eastAsia="宋体" w:cs="宋体"/>
          <w:b w:val="0"/>
          <w:bCs w:val="0"/>
          <w:color w:val="auto"/>
          <w:spacing w:val="12"/>
          <w:sz w:val="24"/>
          <w:szCs w:val="24"/>
          <w:highlight w:val="none"/>
        </w:rPr>
      </w:pPr>
      <w:r>
        <w:rPr>
          <w:rStyle w:val="46"/>
          <w:rFonts w:hint="eastAsia" w:ascii="宋体" w:hAnsi="宋体" w:eastAsia="宋体" w:cs="宋体"/>
          <w:b w:val="0"/>
          <w:bCs w:val="0"/>
          <w:color w:val="auto"/>
          <w:spacing w:val="12"/>
          <w:sz w:val="24"/>
          <w:szCs w:val="24"/>
          <w:highlight w:val="none"/>
        </w:rPr>
        <w:t xml:space="preserve">    我公司承诺：如我公司在参与</w:t>
      </w:r>
      <w:r>
        <w:rPr>
          <w:rStyle w:val="46"/>
          <w:rFonts w:hint="eastAsia" w:ascii="宋体" w:hAnsi="宋体" w:eastAsia="宋体" w:cs="宋体"/>
          <w:b w:val="0"/>
          <w:bCs w:val="0"/>
          <w:color w:val="auto"/>
          <w:spacing w:val="12"/>
          <w:sz w:val="24"/>
          <w:szCs w:val="24"/>
          <w:highlight w:val="none"/>
          <w:u w:val="single"/>
        </w:rPr>
        <w:t xml:space="preserve">   （项目名称）    </w:t>
      </w:r>
      <w:r>
        <w:rPr>
          <w:rStyle w:val="46"/>
          <w:rFonts w:hint="eastAsia" w:ascii="宋体" w:hAnsi="宋体" w:eastAsia="宋体" w:cs="宋体"/>
          <w:b w:val="0"/>
          <w:bCs w:val="0"/>
          <w:color w:val="auto"/>
          <w:spacing w:val="12"/>
          <w:sz w:val="24"/>
          <w:szCs w:val="24"/>
          <w:highlight w:val="none"/>
        </w:rPr>
        <w:t>中标后，所</w:t>
      </w:r>
      <w:r>
        <w:rPr>
          <w:rStyle w:val="46"/>
          <w:rFonts w:hint="eastAsia" w:ascii="宋体" w:hAnsi="宋体" w:cs="宋体"/>
          <w:b w:val="0"/>
          <w:bCs w:val="0"/>
          <w:color w:val="auto"/>
          <w:spacing w:val="12"/>
          <w:sz w:val="24"/>
          <w:szCs w:val="24"/>
          <w:highlight w:val="none"/>
          <w:lang w:val="en-US" w:eastAsia="zh-CN"/>
        </w:rPr>
        <w:t>提供的服务及硬件</w:t>
      </w:r>
      <w:r>
        <w:rPr>
          <w:rStyle w:val="46"/>
          <w:rFonts w:hint="eastAsia" w:ascii="宋体" w:hAnsi="宋体" w:eastAsia="宋体" w:cs="宋体"/>
          <w:b w:val="0"/>
          <w:bCs w:val="0"/>
          <w:color w:val="auto"/>
          <w:spacing w:val="12"/>
          <w:sz w:val="24"/>
          <w:szCs w:val="24"/>
          <w:highlight w:val="none"/>
        </w:rPr>
        <w:t>经采购人验收后若与</w:t>
      </w:r>
      <w:r>
        <w:rPr>
          <w:rStyle w:val="46"/>
          <w:rFonts w:hint="eastAsia" w:ascii="宋体" w:hAnsi="宋体" w:cs="宋体"/>
          <w:b w:val="0"/>
          <w:bCs w:val="0"/>
          <w:color w:val="auto"/>
          <w:spacing w:val="12"/>
          <w:sz w:val="24"/>
          <w:szCs w:val="24"/>
          <w:highlight w:val="none"/>
          <w:lang w:val="en-US" w:eastAsia="zh-CN"/>
        </w:rPr>
        <w:t>采购需求</w:t>
      </w:r>
      <w:r>
        <w:rPr>
          <w:rStyle w:val="46"/>
          <w:rFonts w:hint="eastAsia" w:ascii="宋体" w:hAnsi="宋体" w:eastAsia="宋体" w:cs="宋体"/>
          <w:b w:val="0"/>
          <w:bCs w:val="0"/>
          <w:color w:val="auto"/>
          <w:spacing w:val="12"/>
          <w:sz w:val="24"/>
          <w:szCs w:val="24"/>
          <w:highlight w:val="none"/>
        </w:rPr>
        <w:t>偏离表上偏离情况不符合，出现的所有后果由我公司自行承担。</w:t>
      </w:r>
    </w:p>
    <w:p w14:paraId="4FD49109">
      <w:pPr>
        <w:spacing w:line="288" w:lineRule="auto"/>
        <w:rPr>
          <w:rStyle w:val="46"/>
          <w:rFonts w:ascii="宋体" w:hAnsi="宋体" w:cs="宋体"/>
          <w:b w:val="0"/>
          <w:color w:val="auto"/>
          <w:spacing w:val="12"/>
          <w:sz w:val="24"/>
          <w:szCs w:val="24"/>
          <w:highlight w:val="none"/>
        </w:rPr>
      </w:pPr>
    </w:p>
    <w:p w14:paraId="1518ACD3">
      <w:pPr>
        <w:pStyle w:val="3"/>
        <w:spacing w:line="288" w:lineRule="auto"/>
        <w:rPr>
          <w:rStyle w:val="46"/>
          <w:rFonts w:ascii="宋体" w:hAnsi="宋体" w:eastAsia="宋体" w:cs="宋体"/>
          <w:b w:val="0"/>
          <w:bCs w:val="0"/>
          <w:color w:val="auto"/>
          <w:spacing w:val="12"/>
          <w:sz w:val="24"/>
          <w:szCs w:val="24"/>
          <w:highlight w:val="none"/>
        </w:rPr>
      </w:pPr>
    </w:p>
    <w:p w14:paraId="5621D2E1">
      <w:pPr>
        <w:wordWrap w:val="0"/>
        <w:spacing w:line="288" w:lineRule="auto"/>
        <w:jc w:val="right"/>
        <w:rPr>
          <w:rStyle w:val="46"/>
          <w:rFonts w:ascii="宋体" w:hAnsi="宋体" w:cs="宋体"/>
          <w:b w:val="0"/>
          <w:color w:val="auto"/>
          <w:spacing w:val="12"/>
          <w:sz w:val="24"/>
          <w:szCs w:val="24"/>
          <w:highlight w:val="none"/>
          <w:u w:val="single"/>
        </w:rPr>
      </w:pPr>
      <w:r>
        <w:rPr>
          <w:rStyle w:val="46"/>
          <w:rFonts w:hint="eastAsia" w:ascii="宋体" w:hAnsi="宋体" w:cs="宋体"/>
          <w:b w:val="0"/>
          <w:color w:val="auto"/>
          <w:spacing w:val="12"/>
          <w:sz w:val="24"/>
          <w:szCs w:val="24"/>
          <w:highlight w:val="none"/>
        </w:rPr>
        <w:t>供应商名称：       （盖单位章）</w:t>
      </w:r>
    </w:p>
    <w:p w14:paraId="1F353575">
      <w:pPr>
        <w:wordWrap w:val="0"/>
        <w:spacing w:line="288" w:lineRule="auto"/>
        <w:ind w:right="-1" w:firstLine="264" w:firstLineChars="100"/>
        <w:jc w:val="right"/>
        <w:outlineLvl w:val="9"/>
        <w:rPr>
          <w:rFonts w:ascii="宋体" w:hAnsi="宋体" w:eastAsia="宋体" w:cs="宋体"/>
          <w:b w:val="0"/>
          <w:color w:val="auto"/>
          <w:sz w:val="24"/>
          <w:szCs w:val="24"/>
          <w:highlight w:val="none"/>
        </w:rPr>
      </w:pPr>
      <w:r>
        <w:rPr>
          <w:rStyle w:val="46"/>
          <w:rFonts w:hint="eastAsia" w:ascii="宋体" w:hAnsi="宋体" w:eastAsia="宋体" w:cs="宋体"/>
          <w:b w:val="0"/>
          <w:bCs w:val="0"/>
          <w:color w:val="auto"/>
          <w:spacing w:val="12"/>
          <w:sz w:val="24"/>
          <w:szCs w:val="24"/>
          <w:highlight w:val="none"/>
        </w:rPr>
        <w:t>日     期：     年   月   日</w:t>
      </w:r>
    </w:p>
    <w:bookmarkEnd w:id="73"/>
    <w:bookmarkEnd w:id="74"/>
    <w:p w14:paraId="75133DD5">
      <w:pPr>
        <w:rPr>
          <w:rFonts w:ascii="宋体" w:hAnsi="宋体" w:cs="宋体"/>
          <w:bCs/>
          <w:color w:val="auto"/>
          <w:sz w:val="32"/>
          <w:szCs w:val="32"/>
          <w:highlight w:val="none"/>
        </w:rPr>
      </w:pPr>
      <w:r>
        <w:rPr>
          <w:rFonts w:hint="eastAsia" w:ascii="宋体" w:hAnsi="宋体" w:cs="宋体"/>
          <w:color w:val="auto"/>
          <w:sz w:val="32"/>
          <w:szCs w:val="32"/>
          <w:highlight w:val="none"/>
        </w:rPr>
        <w:br w:type="page"/>
      </w:r>
      <w:bookmarkEnd w:id="75"/>
      <w:bookmarkEnd w:id="76"/>
    </w:p>
    <w:p w14:paraId="4237BCAF">
      <w:pPr>
        <w:jc w:val="center"/>
        <w:rPr>
          <w:rFonts w:ascii="宋体" w:hAnsi="宋体" w:cs="宋体"/>
          <w:b/>
          <w:color w:val="auto"/>
          <w:sz w:val="36"/>
          <w:szCs w:val="36"/>
          <w:highlight w:val="none"/>
        </w:rPr>
      </w:pPr>
      <w:r>
        <w:rPr>
          <w:rFonts w:hint="eastAsia" w:ascii="宋体" w:hAnsi="宋体" w:cs="宋体"/>
          <w:b/>
          <w:color w:val="auto"/>
          <w:sz w:val="36"/>
          <w:szCs w:val="36"/>
          <w:highlight w:val="none"/>
        </w:rPr>
        <w:t>十四、售后服务</w:t>
      </w:r>
    </w:p>
    <w:p w14:paraId="1AD4384F">
      <w:pPr>
        <w:pStyle w:val="16"/>
        <w:rPr>
          <w:color w:val="auto"/>
          <w:highlight w:val="none"/>
        </w:rPr>
      </w:pPr>
    </w:p>
    <w:p w14:paraId="48D04099">
      <w:pPr>
        <w:pStyle w:val="16"/>
        <w:rPr>
          <w:color w:val="auto"/>
          <w:highlight w:val="none"/>
        </w:rPr>
      </w:pPr>
    </w:p>
    <w:p w14:paraId="0FB30B4E">
      <w:pPr>
        <w:pStyle w:val="63"/>
        <w:rPr>
          <w:color w:val="auto"/>
          <w:highlight w:val="none"/>
        </w:rPr>
      </w:pPr>
    </w:p>
    <w:p w14:paraId="365ACE74">
      <w:pPr>
        <w:rPr>
          <w:color w:val="auto"/>
          <w:highlight w:val="none"/>
        </w:rPr>
      </w:pPr>
    </w:p>
    <w:p w14:paraId="1342DE01">
      <w:pPr>
        <w:pStyle w:val="16"/>
        <w:rPr>
          <w:color w:val="auto"/>
          <w:highlight w:val="none"/>
        </w:rPr>
      </w:pPr>
    </w:p>
    <w:p w14:paraId="5AFBA522">
      <w:pPr>
        <w:pStyle w:val="63"/>
        <w:rPr>
          <w:color w:val="auto"/>
          <w:highlight w:val="none"/>
        </w:rPr>
      </w:pPr>
    </w:p>
    <w:p w14:paraId="5879A8E4">
      <w:pPr>
        <w:rPr>
          <w:color w:val="auto"/>
          <w:highlight w:val="none"/>
        </w:rPr>
      </w:pPr>
    </w:p>
    <w:p w14:paraId="21034042">
      <w:pPr>
        <w:pStyle w:val="16"/>
        <w:rPr>
          <w:color w:val="auto"/>
          <w:highlight w:val="none"/>
        </w:rPr>
      </w:pPr>
    </w:p>
    <w:p w14:paraId="0B4DDDE7">
      <w:pPr>
        <w:pStyle w:val="63"/>
        <w:rPr>
          <w:color w:val="auto"/>
          <w:highlight w:val="none"/>
        </w:rPr>
      </w:pPr>
    </w:p>
    <w:p w14:paraId="23138CAB">
      <w:pPr>
        <w:rPr>
          <w:color w:val="auto"/>
          <w:highlight w:val="none"/>
        </w:rPr>
      </w:pPr>
    </w:p>
    <w:p w14:paraId="1CD74605">
      <w:pPr>
        <w:pStyle w:val="16"/>
        <w:rPr>
          <w:color w:val="auto"/>
          <w:highlight w:val="none"/>
        </w:rPr>
      </w:pPr>
    </w:p>
    <w:p w14:paraId="5B7E4459">
      <w:pPr>
        <w:pStyle w:val="63"/>
        <w:rPr>
          <w:color w:val="auto"/>
          <w:highlight w:val="none"/>
        </w:rPr>
      </w:pPr>
    </w:p>
    <w:p w14:paraId="754E4AD5">
      <w:pPr>
        <w:rPr>
          <w:color w:val="auto"/>
          <w:highlight w:val="none"/>
        </w:rPr>
      </w:pPr>
    </w:p>
    <w:p w14:paraId="0254CC2C">
      <w:pPr>
        <w:pStyle w:val="16"/>
        <w:rPr>
          <w:color w:val="auto"/>
          <w:highlight w:val="none"/>
        </w:rPr>
      </w:pPr>
    </w:p>
    <w:p w14:paraId="613C81DC">
      <w:pPr>
        <w:pStyle w:val="63"/>
        <w:rPr>
          <w:color w:val="auto"/>
          <w:highlight w:val="none"/>
        </w:rPr>
      </w:pPr>
    </w:p>
    <w:p w14:paraId="70C44C5D">
      <w:pPr>
        <w:rPr>
          <w:color w:val="auto"/>
          <w:highlight w:val="none"/>
        </w:rPr>
      </w:pPr>
    </w:p>
    <w:p w14:paraId="50B6D80D">
      <w:pPr>
        <w:pStyle w:val="16"/>
        <w:rPr>
          <w:color w:val="auto"/>
          <w:highlight w:val="none"/>
        </w:rPr>
      </w:pPr>
    </w:p>
    <w:p w14:paraId="72669419">
      <w:pPr>
        <w:pStyle w:val="63"/>
        <w:rPr>
          <w:color w:val="auto"/>
          <w:highlight w:val="none"/>
        </w:rPr>
      </w:pPr>
    </w:p>
    <w:p w14:paraId="52194251">
      <w:pPr>
        <w:rPr>
          <w:color w:val="auto"/>
          <w:highlight w:val="none"/>
        </w:rPr>
      </w:pPr>
    </w:p>
    <w:p w14:paraId="639F0878">
      <w:pPr>
        <w:pStyle w:val="16"/>
        <w:rPr>
          <w:color w:val="auto"/>
          <w:highlight w:val="none"/>
        </w:rPr>
      </w:pPr>
    </w:p>
    <w:p w14:paraId="3E6DF4FF">
      <w:pPr>
        <w:pStyle w:val="63"/>
        <w:rPr>
          <w:color w:val="auto"/>
          <w:highlight w:val="none"/>
        </w:rPr>
      </w:pPr>
    </w:p>
    <w:p w14:paraId="799EAF74">
      <w:pPr>
        <w:rPr>
          <w:color w:val="auto"/>
          <w:highlight w:val="none"/>
        </w:rPr>
      </w:pPr>
    </w:p>
    <w:p w14:paraId="61DF4042">
      <w:pPr>
        <w:pStyle w:val="16"/>
        <w:rPr>
          <w:color w:val="auto"/>
          <w:highlight w:val="none"/>
        </w:rPr>
      </w:pPr>
    </w:p>
    <w:tbl>
      <w:tblPr>
        <w:tblStyle w:val="43"/>
        <w:tblW w:w="8528" w:type="dxa"/>
        <w:tblInd w:w="0" w:type="dxa"/>
        <w:tblLayout w:type="fixed"/>
        <w:tblCellMar>
          <w:top w:w="0" w:type="dxa"/>
          <w:left w:w="108" w:type="dxa"/>
          <w:bottom w:w="0" w:type="dxa"/>
          <w:right w:w="108" w:type="dxa"/>
        </w:tblCellMar>
      </w:tblPr>
      <w:tblGrid>
        <w:gridCol w:w="5353"/>
        <w:gridCol w:w="3175"/>
      </w:tblGrid>
      <w:tr w14:paraId="19F1462F">
        <w:tblPrEx>
          <w:tblCellMar>
            <w:top w:w="0" w:type="dxa"/>
            <w:left w:w="108" w:type="dxa"/>
            <w:bottom w:w="0" w:type="dxa"/>
            <w:right w:w="108" w:type="dxa"/>
          </w:tblCellMar>
        </w:tblPrEx>
        <w:tc>
          <w:tcPr>
            <w:tcW w:w="5353" w:type="dxa"/>
            <w:shd w:val="clear" w:color="auto" w:fill="auto"/>
          </w:tcPr>
          <w:p w14:paraId="20A1639D">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c>
          <w:tcPr>
            <w:tcW w:w="3175" w:type="dxa"/>
            <w:shd w:val="clear" w:color="auto" w:fill="auto"/>
          </w:tcPr>
          <w:p w14:paraId="7A7594B9">
            <w:pPr>
              <w:spacing w:line="288" w:lineRule="auto"/>
              <w:rPr>
                <w:rFonts w:ascii="宋体" w:hAnsi="宋体" w:cs="宋体"/>
                <w:color w:val="auto"/>
                <w:sz w:val="24"/>
                <w:szCs w:val="24"/>
                <w:highlight w:val="none"/>
              </w:rPr>
            </w:pPr>
          </w:p>
        </w:tc>
      </w:tr>
      <w:tr w14:paraId="6EA44253">
        <w:tblPrEx>
          <w:tblCellMar>
            <w:top w:w="0" w:type="dxa"/>
            <w:left w:w="108" w:type="dxa"/>
            <w:bottom w:w="0" w:type="dxa"/>
            <w:right w:w="108" w:type="dxa"/>
          </w:tblCellMar>
        </w:tblPrEx>
        <w:tc>
          <w:tcPr>
            <w:tcW w:w="5353" w:type="dxa"/>
            <w:shd w:val="clear" w:color="auto" w:fill="auto"/>
          </w:tcPr>
          <w:p w14:paraId="1E480FCD">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法定代表人（签字）：</w:t>
            </w:r>
          </w:p>
        </w:tc>
        <w:tc>
          <w:tcPr>
            <w:tcW w:w="3175" w:type="dxa"/>
            <w:shd w:val="clear" w:color="auto" w:fill="auto"/>
          </w:tcPr>
          <w:p w14:paraId="13F0260B">
            <w:pPr>
              <w:spacing w:line="288" w:lineRule="auto"/>
              <w:rPr>
                <w:rFonts w:ascii="宋体" w:hAnsi="宋体" w:cs="宋体"/>
                <w:color w:val="auto"/>
                <w:sz w:val="24"/>
                <w:szCs w:val="24"/>
                <w:highlight w:val="none"/>
              </w:rPr>
            </w:pPr>
          </w:p>
        </w:tc>
      </w:tr>
      <w:tr w14:paraId="6A8DADCC">
        <w:tblPrEx>
          <w:tblCellMar>
            <w:top w:w="0" w:type="dxa"/>
            <w:left w:w="108" w:type="dxa"/>
            <w:bottom w:w="0" w:type="dxa"/>
            <w:right w:w="108" w:type="dxa"/>
          </w:tblCellMar>
        </w:tblPrEx>
        <w:tc>
          <w:tcPr>
            <w:tcW w:w="5353" w:type="dxa"/>
            <w:shd w:val="clear" w:color="auto" w:fill="auto"/>
          </w:tcPr>
          <w:p w14:paraId="3A920063">
            <w:pPr>
              <w:spacing w:line="288" w:lineRule="auto"/>
              <w:rPr>
                <w:rFonts w:ascii="宋体" w:hAnsi="宋体" w:cs="宋体"/>
                <w:color w:val="auto"/>
                <w:sz w:val="24"/>
                <w:szCs w:val="24"/>
                <w:highlight w:val="none"/>
              </w:rPr>
            </w:pPr>
          </w:p>
          <w:p w14:paraId="3612CCB0">
            <w:pPr>
              <w:spacing w:line="288" w:lineRule="auto"/>
              <w:rPr>
                <w:rFonts w:ascii="宋体" w:hAnsi="宋体" w:cs="宋体"/>
                <w:color w:val="auto"/>
                <w:sz w:val="24"/>
                <w:szCs w:val="24"/>
                <w:highlight w:val="none"/>
              </w:rPr>
            </w:pPr>
          </w:p>
          <w:p w14:paraId="0028075D">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tc>
        <w:tc>
          <w:tcPr>
            <w:tcW w:w="3175" w:type="dxa"/>
            <w:shd w:val="clear" w:color="auto" w:fill="auto"/>
          </w:tcPr>
          <w:p w14:paraId="2D6EADDF">
            <w:pPr>
              <w:spacing w:line="288" w:lineRule="auto"/>
              <w:rPr>
                <w:rFonts w:ascii="宋体" w:hAnsi="宋体" w:cs="宋体"/>
                <w:color w:val="auto"/>
                <w:sz w:val="24"/>
                <w:szCs w:val="24"/>
                <w:highlight w:val="none"/>
              </w:rPr>
            </w:pPr>
          </w:p>
        </w:tc>
      </w:tr>
    </w:tbl>
    <w:p w14:paraId="4291362B">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20B5082E">
      <w:pPr>
        <w:pStyle w:val="16"/>
        <w:jc w:val="center"/>
        <w:rPr>
          <w:color w:val="auto"/>
          <w:highlight w:val="none"/>
        </w:rPr>
      </w:pPr>
    </w:p>
    <w:p w14:paraId="5C1554A3">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十五、具备履行合同所必需设备和专业技术能力承诺书</w:t>
      </w:r>
    </w:p>
    <w:p w14:paraId="7C10898F">
      <w:pPr>
        <w:autoSpaceDE w:val="0"/>
        <w:autoSpaceDN w:val="0"/>
        <w:adjustRightInd w:val="0"/>
        <w:spacing w:before="120" w:beforeLines="50" w:after="120" w:afterLines="50" w:line="288" w:lineRule="auto"/>
        <w:jc w:val="center"/>
        <w:rPr>
          <w:rFonts w:ascii="宋体" w:hAnsi="宋体" w:cs="宋体"/>
          <w:b/>
          <w:color w:val="auto"/>
          <w:sz w:val="24"/>
          <w:szCs w:val="24"/>
          <w:highlight w:val="none"/>
        </w:rPr>
      </w:pPr>
    </w:p>
    <w:p w14:paraId="4CE2D636">
      <w:pPr>
        <w:pStyle w:val="16"/>
        <w:overflowPunct w:val="0"/>
        <w:spacing w:before="120" w:beforeLines="50" w:after="0" w:line="288" w:lineRule="auto"/>
        <w:rPr>
          <w:rFonts w:ascii="宋体" w:hAnsi="宋体" w:cs="宋体"/>
          <w:b/>
          <w:color w:val="auto"/>
          <w:spacing w:val="10"/>
          <w:sz w:val="24"/>
          <w:szCs w:val="24"/>
          <w:highlight w:val="none"/>
        </w:rPr>
      </w:pPr>
    </w:p>
    <w:p w14:paraId="570BA25F">
      <w:pPr>
        <w:pStyle w:val="16"/>
        <w:overflowPunct w:val="0"/>
        <w:spacing w:before="120" w:beforeLines="50" w:after="0" w:line="288" w:lineRule="auto"/>
        <w:rPr>
          <w:rFonts w:ascii="宋体" w:hAnsi="宋体" w:cs="宋体"/>
          <w:color w:val="auto"/>
          <w:sz w:val="24"/>
          <w:szCs w:val="24"/>
          <w:highlight w:val="none"/>
        </w:rPr>
      </w:pPr>
      <w:r>
        <w:rPr>
          <w:rFonts w:hint="eastAsia" w:ascii="宋体" w:hAnsi="宋体" w:cs="宋体"/>
          <w:b/>
          <w:color w:val="auto"/>
          <w:spacing w:val="10"/>
          <w:sz w:val="24"/>
          <w:szCs w:val="24"/>
          <w:highlight w:val="none"/>
        </w:rPr>
        <w:t>供应商需提供承诺书，格式自拟。</w:t>
      </w:r>
    </w:p>
    <w:p w14:paraId="7719E6AC">
      <w:pPr>
        <w:pStyle w:val="16"/>
        <w:overflowPunct w:val="0"/>
        <w:spacing w:before="120" w:beforeLines="50" w:after="0" w:line="288" w:lineRule="auto"/>
        <w:rPr>
          <w:rFonts w:ascii="宋体" w:hAnsi="宋体" w:cs="宋体"/>
          <w:color w:val="auto"/>
          <w:sz w:val="24"/>
          <w:szCs w:val="24"/>
          <w:highlight w:val="none"/>
        </w:rPr>
      </w:pPr>
    </w:p>
    <w:p w14:paraId="7FCB1C46">
      <w:pPr>
        <w:pStyle w:val="16"/>
        <w:overflowPunct w:val="0"/>
        <w:spacing w:before="120" w:beforeLines="50" w:after="0" w:line="288" w:lineRule="auto"/>
        <w:rPr>
          <w:rFonts w:ascii="宋体" w:hAnsi="宋体" w:cs="宋体"/>
          <w:color w:val="auto"/>
          <w:sz w:val="24"/>
          <w:szCs w:val="24"/>
          <w:highlight w:val="none"/>
        </w:rPr>
      </w:pPr>
    </w:p>
    <w:p w14:paraId="68A86505">
      <w:pPr>
        <w:spacing w:line="288" w:lineRule="auto"/>
        <w:rPr>
          <w:rFonts w:ascii="宋体" w:hAnsi="宋体" w:cs="宋体"/>
          <w:color w:val="auto"/>
          <w:sz w:val="24"/>
          <w:szCs w:val="24"/>
          <w:highlight w:val="none"/>
        </w:rPr>
      </w:pPr>
    </w:p>
    <w:p w14:paraId="25236F99">
      <w:pPr>
        <w:spacing w:line="288" w:lineRule="auto"/>
        <w:rPr>
          <w:rFonts w:ascii="宋体" w:hAnsi="宋体" w:cs="宋体"/>
          <w:color w:val="auto"/>
          <w:sz w:val="24"/>
          <w:szCs w:val="24"/>
          <w:highlight w:val="none"/>
        </w:rPr>
      </w:pPr>
    </w:p>
    <w:p w14:paraId="21C2463D">
      <w:pPr>
        <w:spacing w:line="288" w:lineRule="auto"/>
        <w:rPr>
          <w:rFonts w:ascii="宋体" w:hAnsi="宋体" w:cs="宋体"/>
          <w:color w:val="auto"/>
          <w:sz w:val="24"/>
          <w:szCs w:val="24"/>
          <w:highlight w:val="none"/>
        </w:rPr>
      </w:pPr>
    </w:p>
    <w:tbl>
      <w:tblPr>
        <w:tblStyle w:val="43"/>
        <w:tblW w:w="8528" w:type="dxa"/>
        <w:tblInd w:w="0" w:type="dxa"/>
        <w:tblLayout w:type="fixed"/>
        <w:tblCellMar>
          <w:top w:w="0" w:type="dxa"/>
          <w:left w:w="108" w:type="dxa"/>
          <w:bottom w:w="0" w:type="dxa"/>
          <w:right w:w="108" w:type="dxa"/>
        </w:tblCellMar>
      </w:tblPr>
      <w:tblGrid>
        <w:gridCol w:w="8528"/>
      </w:tblGrid>
      <w:tr w14:paraId="297934AB">
        <w:tblPrEx>
          <w:tblCellMar>
            <w:top w:w="0" w:type="dxa"/>
            <w:left w:w="108" w:type="dxa"/>
            <w:bottom w:w="0" w:type="dxa"/>
            <w:right w:w="108" w:type="dxa"/>
          </w:tblCellMar>
        </w:tblPrEx>
        <w:tc>
          <w:tcPr>
            <w:tcW w:w="5726" w:type="dxa"/>
            <w:shd w:val="clear" w:color="auto" w:fill="auto"/>
          </w:tcPr>
          <w:p w14:paraId="17A51B45">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r>
      <w:tr w14:paraId="2E42B3EF">
        <w:tblPrEx>
          <w:tblCellMar>
            <w:top w:w="0" w:type="dxa"/>
            <w:left w:w="108" w:type="dxa"/>
            <w:bottom w:w="0" w:type="dxa"/>
            <w:right w:w="108" w:type="dxa"/>
          </w:tblCellMar>
        </w:tblPrEx>
        <w:tc>
          <w:tcPr>
            <w:tcW w:w="5726" w:type="dxa"/>
            <w:shd w:val="clear" w:color="auto" w:fill="auto"/>
          </w:tcPr>
          <w:p w14:paraId="58005C1C">
            <w:pPr>
              <w:spacing w:line="288" w:lineRule="auto"/>
              <w:rPr>
                <w:rFonts w:ascii="宋体" w:hAnsi="宋体" w:cs="宋体"/>
                <w:color w:val="auto"/>
                <w:sz w:val="24"/>
                <w:szCs w:val="24"/>
                <w:highlight w:val="none"/>
              </w:rPr>
            </w:pPr>
          </w:p>
          <w:p w14:paraId="7371D71D">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法定代表人或被授权人（签名或盖章）：</w:t>
            </w:r>
          </w:p>
        </w:tc>
      </w:tr>
      <w:tr w14:paraId="30D041FB">
        <w:tblPrEx>
          <w:tblCellMar>
            <w:top w:w="0" w:type="dxa"/>
            <w:left w:w="108" w:type="dxa"/>
            <w:bottom w:w="0" w:type="dxa"/>
            <w:right w:w="108" w:type="dxa"/>
          </w:tblCellMar>
        </w:tblPrEx>
        <w:tc>
          <w:tcPr>
            <w:tcW w:w="5726" w:type="dxa"/>
            <w:shd w:val="clear" w:color="auto" w:fill="auto"/>
          </w:tcPr>
          <w:p w14:paraId="17348EF5">
            <w:pPr>
              <w:spacing w:line="288" w:lineRule="auto"/>
              <w:rPr>
                <w:rFonts w:ascii="宋体" w:hAnsi="宋体" w:cs="宋体"/>
                <w:color w:val="auto"/>
                <w:sz w:val="24"/>
                <w:szCs w:val="24"/>
                <w:highlight w:val="none"/>
              </w:rPr>
            </w:pPr>
          </w:p>
          <w:p w14:paraId="5115AC5F">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tc>
      </w:tr>
    </w:tbl>
    <w:p w14:paraId="637BC961">
      <w:pPr>
        <w:spacing w:line="288" w:lineRule="auto"/>
        <w:rPr>
          <w:rFonts w:ascii="宋体" w:hAnsi="宋体" w:cs="宋体"/>
          <w:color w:val="auto"/>
          <w:sz w:val="24"/>
          <w:szCs w:val="24"/>
          <w:highlight w:val="none"/>
        </w:rPr>
      </w:pPr>
    </w:p>
    <w:p w14:paraId="16622411">
      <w:pPr>
        <w:spacing w:line="360" w:lineRule="auto"/>
        <w:rPr>
          <w:rFonts w:ascii="宋体" w:hAnsi="宋体" w:cs="宋体"/>
          <w:color w:val="auto"/>
          <w:szCs w:val="21"/>
          <w:highlight w:val="none"/>
        </w:rPr>
      </w:pPr>
    </w:p>
    <w:p w14:paraId="636A0C35">
      <w:pPr>
        <w:spacing w:line="360" w:lineRule="auto"/>
        <w:rPr>
          <w:rFonts w:ascii="宋体" w:hAnsi="宋体" w:cs="宋体"/>
          <w:color w:val="auto"/>
          <w:szCs w:val="21"/>
          <w:highlight w:val="none"/>
        </w:rPr>
      </w:pPr>
    </w:p>
    <w:p w14:paraId="58D81ED0">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67C57467">
      <w:pPr>
        <w:spacing w:line="360" w:lineRule="auto"/>
        <w:jc w:val="center"/>
        <w:rPr>
          <w:rFonts w:ascii="宋体" w:hAnsi="宋体" w:cs="宋体"/>
          <w:b/>
          <w:color w:val="auto"/>
          <w:sz w:val="36"/>
          <w:szCs w:val="36"/>
          <w:highlight w:val="none"/>
        </w:rPr>
      </w:pPr>
    </w:p>
    <w:p w14:paraId="6C95214F">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十六、</w:t>
      </w:r>
      <w:r>
        <w:rPr>
          <w:rFonts w:hint="eastAsia" w:ascii="宋体" w:hAnsi="宋体" w:cs="宋体"/>
          <w:b/>
          <w:color w:val="auto"/>
          <w:sz w:val="36"/>
          <w:szCs w:val="36"/>
          <w:highlight w:val="none"/>
          <w:lang w:val="en-US" w:eastAsia="zh-CN"/>
        </w:rPr>
        <w:t>技术</w:t>
      </w:r>
      <w:r>
        <w:rPr>
          <w:rFonts w:hint="eastAsia" w:ascii="宋体" w:hAnsi="宋体" w:cs="宋体"/>
          <w:b/>
          <w:color w:val="auto"/>
          <w:sz w:val="36"/>
          <w:szCs w:val="36"/>
          <w:highlight w:val="none"/>
        </w:rPr>
        <w:t>方案</w:t>
      </w:r>
    </w:p>
    <w:p w14:paraId="49059F9B">
      <w:pPr>
        <w:rPr>
          <w:rFonts w:ascii="宋体" w:hAnsi="宋体" w:cs="宋体"/>
          <w:color w:val="auto"/>
          <w:sz w:val="32"/>
          <w:szCs w:val="32"/>
          <w:highlight w:val="none"/>
        </w:rPr>
      </w:pPr>
    </w:p>
    <w:p w14:paraId="34118481">
      <w:pPr>
        <w:rPr>
          <w:rFonts w:ascii="宋体" w:hAnsi="宋体" w:cs="宋体"/>
          <w:b/>
          <w:color w:val="auto"/>
          <w:spacing w:val="20"/>
          <w:sz w:val="30"/>
          <w:szCs w:val="30"/>
          <w:highlight w:val="none"/>
        </w:rPr>
      </w:pPr>
      <w:r>
        <w:rPr>
          <w:rFonts w:hint="eastAsia" w:ascii="宋体" w:hAnsi="宋体" w:cs="宋体"/>
          <w:b/>
          <w:color w:val="auto"/>
          <w:spacing w:val="20"/>
          <w:sz w:val="30"/>
          <w:szCs w:val="30"/>
          <w:highlight w:val="none"/>
        </w:rPr>
        <w:br w:type="page"/>
      </w:r>
    </w:p>
    <w:p w14:paraId="511D3BA0">
      <w:pPr>
        <w:spacing w:line="360" w:lineRule="auto"/>
        <w:jc w:val="center"/>
        <w:rPr>
          <w:rFonts w:hint="eastAsia" w:ascii="宋体" w:hAnsi="宋体" w:eastAsia="宋体" w:cs="宋体"/>
          <w:b/>
          <w:color w:val="auto"/>
          <w:sz w:val="36"/>
          <w:szCs w:val="36"/>
          <w:highlight w:val="none"/>
          <w:lang w:eastAsia="zh-CN"/>
        </w:rPr>
      </w:pPr>
    </w:p>
    <w:p w14:paraId="6985ED45">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十</w:t>
      </w:r>
      <w:r>
        <w:rPr>
          <w:rFonts w:hint="eastAsia" w:ascii="宋体" w:hAnsi="宋体" w:cs="宋体"/>
          <w:b/>
          <w:color w:val="auto"/>
          <w:sz w:val="36"/>
          <w:szCs w:val="36"/>
          <w:highlight w:val="none"/>
          <w:lang w:val="en-US" w:eastAsia="zh-CN"/>
        </w:rPr>
        <w:t>七</w:t>
      </w:r>
      <w:r>
        <w:rPr>
          <w:rFonts w:hint="eastAsia" w:ascii="宋体" w:hAnsi="宋体" w:cs="宋体"/>
          <w:b/>
          <w:color w:val="auto"/>
          <w:sz w:val="36"/>
          <w:szCs w:val="36"/>
          <w:highlight w:val="none"/>
        </w:rPr>
        <w:t>、供应商认为有必要提供的其他材料</w:t>
      </w:r>
    </w:p>
    <w:p w14:paraId="2B4DA248">
      <w:pPr>
        <w:rPr>
          <w:rFonts w:ascii="宋体" w:hAnsi="宋体" w:cs="宋体"/>
          <w:b/>
          <w:color w:val="auto"/>
          <w:szCs w:val="21"/>
          <w:highlight w:val="none"/>
        </w:rPr>
      </w:pPr>
    </w:p>
    <w:p w14:paraId="0DAAC3D4">
      <w:pPr>
        <w:jc w:val="center"/>
        <w:rPr>
          <w:rFonts w:ascii="宋体" w:hAnsi="宋体" w:cs="宋体"/>
          <w:b/>
          <w:color w:val="auto"/>
          <w:szCs w:val="21"/>
          <w:highlight w:val="none"/>
        </w:rPr>
      </w:pPr>
    </w:p>
    <w:p w14:paraId="17924E40">
      <w:pPr>
        <w:spacing w:line="288"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供应商按招标文件要求自行填写，不作统一格式要求。</w:t>
      </w:r>
    </w:p>
    <w:p w14:paraId="7E379824">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3C41E697">
      <w:pPr>
        <w:jc w:val="both"/>
        <w:rPr>
          <w:rFonts w:ascii="宋体" w:hAnsi="宋体" w:cs="宋体"/>
          <w:b/>
          <w:color w:val="auto"/>
          <w:sz w:val="24"/>
          <w:szCs w:val="24"/>
          <w:highlight w:val="none"/>
        </w:rPr>
      </w:pPr>
      <w:r>
        <w:rPr>
          <w:rFonts w:hint="eastAsia" w:ascii="宋体" w:hAnsi="宋体" w:cs="宋体"/>
          <w:b/>
          <w:color w:val="auto"/>
          <w:sz w:val="24"/>
          <w:szCs w:val="24"/>
          <w:highlight w:val="none"/>
        </w:rPr>
        <w:t>附件</w:t>
      </w:r>
    </w:p>
    <w:p w14:paraId="4F158258">
      <w:pPr>
        <w:pStyle w:val="16"/>
        <w:jc w:val="center"/>
        <w:rPr>
          <w:rFonts w:hint="eastAsia" w:ascii="宋体" w:hAnsi="宋体" w:eastAsia="宋体" w:cs="宋体"/>
          <w:bCs/>
          <w:color w:val="auto"/>
          <w:sz w:val="24"/>
          <w:szCs w:val="24"/>
          <w:highlight w:val="none"/>
          <w:lang w:eastAsia="zh-CN" w:bidi="ar"/>
        </w:rPr>
      </w:pPr>
      <w:r>
        <w:rPr>
          <w:rFonts w:hint="eastAsia" w:ascii="宋体" w:hAnsi="宋体" w:eastAsia="宋体" w:cs="宋体"/>
          <w:b/>
          <w:color w:val="auto"/>
          <w:sz w:val="24"/>
          <w:szCs w:val="24"/>
          <w:highlight w:val="none"/>
          <w:lang w:bidi="ar"/>
        </w:rPr>
        <w:t>中小企业声明函</w:t>
      </w:r>
      <w:r>
        <w:rPr>
          <w:rFonts w:hint="eastAsia" w:ascii="宋体" w:hAnsi="宋体" w:cs="宋体"/>
          <w:b/>
          <w:color w:val="auto"/>
          <w:sz w:val="24"/>
          <w:szCs w:val="24"/>
          <w:highlight w:val="none"/>
          <w:lang w:eastAsia="zh-CN" w:bidi="ar"/>
        </w:rPr>
        <w:t>（</w:t>
      </w:r>
      <w:r>
        <w:rPr>
          <w:rFonts w:hint="eastAsia" w:ascii="宋体" w:hAnsi="宋体" w:cs="宋体"/>
          <w:b/>
          <w:color w:val="auto"/>
          <w:sz w:val="24"/>
          <w:szCs w:val="24"/>
          <w:highlight w:val="none"/>
          <w:lang w:val="en-US" w:eastAsia="zh-CN" w:bidi="ar"/>
        </w:rPr>
        <w:t>货物</w:t>
      </w:r>
      <w:r>
        <w:rPr>
          <w:rFonts w:hint="eastAsia" w:ascii="宋体" w:hAnsi="宋体" w:cs="宋体"/>
          <w:b/>
          <w:color w:val="auto"/>
          <w:sz w:val="24"/>
          <w:szCs w:val="24"/>
          <w:highlight w:val="none"/>
          <w:lang w:eastAsia="zh-CN" w:bidi="ar"/>
        </w:rPr>
        <w:t>）</w:t>
      </w:r>
    </w:p>
    <w:p w14:paraId="3431740A">
      <w:pPr>
        <w:pStyle w:val="16"/>
        <w:rPr>
          <w:rFonts w:hint="eastAsia" w:ascii="宋体" w:hAnsi="宋体" w:eastAsia="宋体" w:cs="宋体"/>
          <w:bCs/>
          <w:color w:val="auto"/>
          <w:sz w:val="24"/>
          <w:szCs w:val="24"/>
          <w:highlight w:val="none"/>
          <w:lang w:val="en-US" w:eastAsia="zh-CN" w:bidi="ar"/>
        </w:rPr>
      </w:pPr>
    </w:p>
    <w:p w14:paraId="0C267155">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0D939887">
      <w:pPr>
        <w:widowControl/>
        <w:spacing w:line="360" w:lineRule="auto"/>
        <w:ind w:left="456" w:leftChars="228"/>
        <w:jc w:val="left"/>
        <w:rPr>
          <w:rFonts w:hint="eastAsia" w:ascii="宋体" w:hAnsi="宋体" w:eastAsia="宋体" w:cs="宋体"/>
          <w:iCs/>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r>
        <w:rPr>
          <w:rFonts w:hint="eastAsia" w:ascii="宋体" w:hAnsi="宋体" w:eastAsia="宋体" w:cs="宋体"/>
          <w:iCs/>
          <w:color w:val="auto"/>
          <w:kern w:val="0"/>
          <w:sz w:val="21"/>
          <w:szCs w:val="21"/>
          <w:highlight w:val="none"/>
          <w:lang w:bidi="ar"/>
        </w:rPr>
        <w:t xml:space="preserve">（标的名称） ，属于（所属行业）；承建（承接）企业为（企业名称），从业人员 </w:t>
      </w:r>
    </w:p>
    <w:p w14:paraId="5E9C981F">
      <w:pPr>
        <w:widowControl/>
        <w:spacing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iCs/>
          <w:color w:val="auto"/>
          <w:kern w:val="0"/>
          <w:sz w:val="21"/>
          <w:szCs w:val="21"/>
          <w:highlight w:val="none"/>
          <w:lang w:bidi="ar"/>
        </w:rPr>
        <w:t xml:space="preserve">人，营业收入为 万元，资产总额为 万元，属于（中型企业、小型企业、微型企业）； </w:t>
      </w:r>
    </w:p>
    <w:p w14:paraId="6BA3E85B">
      <w:pPr>
        <w:widowControl/>
        <w:spacing w:line="360" w:lineRule="auto"/>
        <w:ind w:left="456" w:leftChars="228"/>
        <w:jc w:val="left"/>
        <w:rPr>
          <w:rFonts w:hint="eastAsia" w:ascii="宋体" w:hAnsi="宋体" w:eastAsia="宋体" w:cs="宋体"/>
          <w:iCs/>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r>
        <w:rPr>
          <w:rFonts w:hint="eastAsia" w:ascii="宋体" w:hAnsi="宋体" w:eastAsia="宋体" w:cs="宋体"/>
          <w:iCs/>
          <w:color w:val="auto"/>
          <w:kern w:val="0"/>
          <w:sz w:val="21"/>
          <w:szCs w:val="21"/>
          <w:highlight w:val="none"/>
          <w:lang w:bidi="ar"/>
        </w:rPr>
        <w:t>（标的名称） ，属于（所属行业）；承建（承接）企业为（企业名称），从业人员</w:t>
      </w:r>
    </w:p>
    <w:p w14:paraId="79E79F25">
      <w:pPr>
        <w:widowControl/>
        <w:spacing w:line="360" w:lineRule="auto"/>
        <w:ind w:firstLine="210" w:firstLineChars="100"/>
        <w:jc w:val="left"/>
        <w:rPr>
          <w:rFonts w:hint="eastAsia" w:ascii="宋体" w:hAnsi="宋体" w:eastAsia="宋体" w:cs="宋体"/>
          <w:iCs/>
          <w:color w:val="auto"/>
          <w:kern w:val="0"/>
          <w:sz w:val="21"/>
          <w:szCs w:val="21"/>
          <w:highlight w:val="none"/>
          <w:lang w:bidi="ar"/>
        </w:rPr>
      </w:pPr>
      <w:r>
        <w:rPr>
          <w:rFonts w:hint="eastAsia" w:ascii="宋体" w:hAnsi="宋体" w:eastAsia="宋体" w:cs="宋体"/>
          <w:iCs/>
          <w:color w:val="auto"/>
          <w:kern w:val="0"/>
          <w:sz w:val="21"/>
          <w:szCs w:val="21"/>
          <w:highlight w:val="none"/>
          <w:lang w:bidi="ar"/>
        </w:rPr>
        <w:t>人，营业收入为 万元，资产总额为 万元，属于（中型企业、小型企业、微型企业）；</w:t>
      </w:r>
    </w:p>
    <w:p w14:paraId="49DEF9E5">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p w14:paraId="3684C85A">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以上企业，不属于大企业的分支机构，不存在控股股东为大企业的情形，也不存在与大企业的负责人为同一人的情形。 </w:t>
      </w:r>
    </w:p>
    <w:p w14:paraId="1A80B3CA">
      <w:pPr>
        <w:widowControl/>
        <w:spacing w:line="360" w:lineRule="auto"/>
        <w:ind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本企业对上述声明内容的真实性负责。如有虚假，将依法承担相应责任。</w:t>
      </w:r>
    </w:p>
    <w:p w14:paraId="057EFB55">
      <w:pPr>
        <w:pStyle w:val="16"/>
        <w:spacing w:line="360" w:lineRule="auto"/>
        <w:rPr>
          <w:rFonts w:hint="eastAsia" w:ascii="宋体" w:hAnsi="宋体" w:eastAsia="宋体" w:cs="宋体"/>
          <w:color w:val="auto"/>
          <w:sz w:val="21"/>
          <w:szCs w:val="21"/>
          <w:highlight w:val="none"/>
        </w:rPr>
      </w:pPr>
    </w:p>
    <w:p w14:paraId="2975557A">
      <w:pPr>
        <w:widowControl/>
        <w:spacing w:line="360" w:lineRule="auto"/>
        <w:ind w:firstLine="3780" w:firstLineChars="18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企业名称（盖章）： </w:t>
      </w:r>
    </w:p>
    <w:p w14:paraId="34E72636">
      <w:pPr>
        <w:pStyle w:val="16"/>
        <w:spacing w:line="360" w:lineRule="auto"/>
        <w:rPr>
          <w:rFonts w:hint="eastAsia" w:ascii="宋体" w:hAnsi="宋体" w:eastAsia="宋体" w:cs="宋体"/>
          <w:color w:val="auto"/>
          <w:sz w:val="21"/>
          <w:szCs w:val="21"/>
          <w:highlight w:val="none"/>
        </w:rPr>
      </w:pPr>
    </w:p>
    <w:p w14:paraId="5A242D73">
      <w:pPr>
        <w:widowControl/>
        <w:spacing w:line="360" w:lineRule="auto"/>
        <w:ind w:firstLine="4830" w:firstLineChars="23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日 期： </w:t>
      </w:r>
    </w:p>
    <w:p w14:paraId="453040C6">
      <w:pPr>
        <w:pStyle w:val="16"/>
        <w:spacing w:line="360" w:lineRule="auto"/>
        <w:rPr>
          <w:rFonts w:hint="eastAsia" w:ascii="宋体" w:hAnsi="宋体" w:eastAsia="宋体" w:cs="宋体"/>
          <w:color w:val="auto"/>
          <w:sz w:val="21"/>
          <w:szCs w:val="21"/>
          <w:highlight w:val="none"/>
        </w:rPr>
      </w:pPr>
    </w:p>
    <w:p w14:paraId="4004DC63">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从业人员、营业收入、资产总额填报上一年度数据，无上一年度数据的新成立企业可不填报。 </w:t>
      </w:r>
    </w:p>
    <w:p w14:paraId="7C5EF35C">
      <w:pPr>
        <w:widowControl/>
        <w:spacing w:line="360" w:lineRule="auto"/>
        <w:ind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备注：</w:t>
      </w:r>
    </w:p>
    <w:p w14:paraId="164D29EB">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1.响应的服务全部均为小微企业提供的，需逐项填报，方可享受政策优惠；有任何一项服务为非小微企业提供的，不享受政策优惠，无需填报。 </w:t>
      </w:r>
    </w:p>
    <w:p w14:paraId="09C5EAFC">
      <w:pPr>
        <w:spacing w:line="360" w:lineRule="auto"/>
        <w:ind w:firstLine="420" w:firstLineChars="200"/>
        <w:rPr>
          <w:rFonts w:hint="eastAsia" w:ascii="宋体" w:hAnsi="宋体" w:eastAsia="宋体"/>
          <w:color w:val="auto"/>
          <w:sz w:val="18"/>
          <w:highlight w:val="none"/>
        </w:rPr>
      </w:pPr>
      <w:r>
        <w:rPr>
          <w:rFonts w:hint="eastAsia" w:ascii="宋体" w:hAnsi="宋体" w:eastAsia="宋体" w:cs="宋体"/>
          <w:color w:val="auto"/>
          <w:kern w:val="0"/>
          <w:sz w:val="21"/>
          <w:szCs w:val="21"/>
          <w:highlight w:val="none"/>
          <w:lang w:bidi="ar"/>
        </w:rPr>
        <w:t>2.此声明函仅作为政策性优惠的依据，不作为废止的依据。</w:t>
      </w:r>
      <w:r>
        <w:rPr>
          <w:rFonts w:hint="eastAsia" w:ascii="宋体" w:hAnsi="宋体" w:eastAsia="宋体"/>
          <w:color w:val="auto"/>
          <w:sz w:val="18"/>
          <w:highlight w:val="none"/>
        </w:rPr>
        <w:br w:type="page"/>
      </w:r>
    </w:p>
    <w:p w14:paraId="3FE6344F">
      <w:pPr>
        <w:spacing w:line="360" w:lineRule="auto"/>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p>
    <w:p w14:paraId="27A8F09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政府采购促进中小企业发展管理办法</w:t>
      </w:r>
    </w:p>
    <w:p w14:paraId="12C577BB">
      <w:pPr>
        <w:spacing w:line="288"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bidi="ar"/>
        </w:rPr>
        <w:t>财库〔2020〕46号</w:t>
      </w:r>
    </w:p>
    <w:p w14:paraId="016F60F1">
      <w:pPr>
        <w:spacing w:line="288" w:lineRule="auto"/>
        <w:rPr>
          <w:rFonts w:ascii="宋体" w:hAnsi="宋体" w:cs="宋体"/>
          <w:color w:val="auto"/>
          <w:sz w:val="21"/>
          <w:szCs w:val="21"/>
          <w:highlight w:val="none"/>
        </w:rPr>
      </w:pPr>
      <w:r>
        <w:rPr>
          <w:rFonts w:hint="eastAsia" w:ascii="宋体" w:hAnsi="宋体" w:cs="宋体"/>
          <w:color w:val="auto"/>
          <w:sz w:val="24"/>
          <w:szCs w:val="24"/>
          <w:highlight w:val="none"/>
          <w:lang w:bidi="ar"/>
        </w:rPr>
        <w:t xml:space="preserve"> </w:t>
      </w:r>
      <w:r>
        <w:rPr>
          <w:rFonts w:hint="eastAsia" w:ascii="宋体" w:hAnsi="宋体" w:cs="宋体"/>
          <w:color w:val="auto"/>
          <w:sz w:val="21"/>
          <w:szCs w:val="21"/>
          <w:highlight w:val="none"/>
          <w:lang w:bidi="ar"/>
        </w:rPr>
        <w:t xml:space="preserve">   </w:t>
      </w:r>
      <w:r>
        <w:rPr>
          <w:rStyle w:val="46"/>
          <w:rFonts w:hint="eastAsia" w:ascii="宋体" w:hAnsi="宋体" w:cs="宋体"/>
          <w:bCs w:val="0"/>
          <w:color w:val="auto"/>
          <w:sz w:val="21"/>
          <w:szCs w:val="21"/>
          <w:highlight w:val="none"/>
          <w:lang w:bidi="ar"/>
        </w:rPr>
        <w:t>第一条</w:t>
      </w:r>
      <w:r>
        <w:rPr>
          <w:rFonts w:hint="eastAsia" w:ascii="宋体" w:hAnsi="宋体" w:cs="宋体"/>
          <w:color w:val="auto"/>
          <w:sz w:val="21"/>
          <w:szCs w:val="21"/>
          <w:highlight w:val="none"/>
          <w:lang w:bidi="ar"/>
        </w:rPr>
        <w:t xml:space="preserve">  为了发挥政府采购的政策功能，促进中小企业健康发展，根据《中华人民共和国政府采购法》、《中华人民共和国中小企业促进法》等有关法律法规，制定本办法。</w:t>
      </w:r>
    </w:p>
    <w:p w14:paraId="256CA212">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第二条</w:t>
      </w:r>
      <w:r>
        <w:rPr>
          <w:rFonts w:hint="eastAsia" w:ascii="宋体" w:hAnsi="宋体" w:cs="宋体"/>
          <w:color w:val="auto"/>
          <w:sz w:val="21"/>
          <w:szCs w:val="21"/>
          <w:highlight w:val="none"/>
          <w:lang w:bidi="ar"/>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E211393">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符合中小企业划分标准的个体工商户，在政府采购活动中视同中小企业。</w:t>
      </w:r>
    </w:p>
    <w:p w14:paraId="0D80C5F2">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lang w:bidi="ar"/>
        </w:rPr>
        <w:t xml:space="preserve">   </w:t>
      </w:r>
      <w:r>
        <w:rPr>
          <w:rStyle w:val="46"/>
          <w:rFonts w:hint="eastAsia" w:ascii="宋体" w:hAnsi="宋体" w:cs="宋体"/>
          <w:bCs w:val="0"/>
          <w:color w:val="auto"/>
          <w:sz w:val="21"/>
          <w:szCs w:val="21"/>
          <w:highlight w:val="none"/>
          <w:lang w:bidi="ar"/>
        </w:rPr>
        <w:t xml:space="preserve"> 第三条</w:t>
      </w:r>
      <w:r>
        <w:rPr>
          <w:rFonts w:hint="eastAsia" w:ascii="宋体" w:hAnsi="宋体" w:cs="宋体"/>
          <w:color w:val="auto"/>
          <w:sz w:val="21"/>
          <w:szCs w:val="21"/>
          <w:highlight w:val="none"/>
          <w:lang w:bidi="ar"/>
        </w:rPr>
        <w:t xml:space="preserve">  采购人在政府采购活动中应当通过加强采购需求管理，落实预留采购份额、价格评审优惠、优先采购等措施，提高中小企业在政府采购中的份额，支持中小企业发展。</w:t>
      </w:r>
    </w:p>
    <w:p w14:paraId="3DB89D28">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第四条</w:t>
      </w:r>
      <w:r>
        <w:rPr>
          <w:rFonts w:hint="eastAsia" w:ascii="宋体" w:hAnsi="宋体" w:cs="宋体"/>
          <w:color w:val="auto"/>
          <w:sz w:val="21"/>
          <w:szCs w:val="21"/>
          <w:highlight w:val="none"/>
          <w:lang w:bidi="ar"/>
        </w:rPr>
        <w:t xml:space="preserve">  在政府采购活动中，供应商提供的货物、工程或者服务符合下列情形的，享受本办法规定的中小企业扶持政策：</w:t>
      </w:r>
    </w:p>
    <w:p w14:paraId="78E665F2">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（一）在货物采购项目中，货物由中小企业制造，即货物由中小企业生产且使用该中小企业商号或者注册商标；</w:t>
      </w:r>
    </w:p>
    <w:p w14:paraId="5B23DD99">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（二）在工程采购项目中，工程由中小企业承建，即工程施工单位为中小企业；</w:t>
      </w:r>
    </w:p>
    <w:p w14:paraId="0541B181">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（三）在服务采购项目中，服务由中小企业承接，即提供服务的人员为中小企业依照《中华人民共和国劳动合同法》订立劳动合同的从业人员。</w:t>
      </w:r>
    </w:p>
    <w:p w14:paraId="4EED015C">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在货物采购项目中，供应商提供的货物既有中小企业制造货物，也有大型企业制造货物的，不享受本办法规定的中小企业扶持政策。</w:t>
      </w:r>
    </w:p>
    <w:p w14:paraId="637E98AF">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以联合体形式参加政府采购活动，联合体各方均为中小企业的，联合体视同中小企业。其中，联合体各方均为小微企业的，联合体视同小微企业。</w:t>
      </w:r>
    </w:p>
    <w:p w14:paraId="65E1847F">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第五条</w:t>
      </w:r>
      <w:r>
        <w:rPr>
          <w:rFonts w:hint="eastAsia" w:ascii="宋体" w:hAnsi="宋体" w:cs="宋体"/>
          <w:color w:val="auto"/>
          <w:sz w:val="21"/>
          <w:szCs w:val="21"/>
          <w:highlight w:val="none"/>
          <w:lang w:bidi="ar"/>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2276758">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第六条</w:t>
      </w:r>
      <w:r>
        <w:rPr>
          <w:rFonts w:hint="eastAsia" w:ascii="宋体" w:hAnsi="宋体" w:cs="宋体"/>
          <w:color w:val="auto"/>
          <w:sz w:val="21"/>
          <w:szCs w:val="21"/>
          <w:highlight w:val="none"/>
          <w:lang w:bidi="ar"/>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3A586EE">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符合下列情形之一的，可不专门面向中小企业预留采购份额：</w:t>
      </w:r>
    </w:p>
    <w:p w14:paraId="4CEAD400">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（一）法律法规和国家有关政策明确规定优先或者应当面向事业单位、社会组织等非企业主体采购的；</w:t>
      </w:r>
    </w:p>
    <w:p w14:paraId="4A95E8DC">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（二）因确需使用不可替代的专利、专有技术，基础设施限制，或者提供特定公共服务等原因，只能从中小企业之外的供应商处采购的；</w:t>
      </w:r>
    </w:p>
    <w:p w14:paraId="55CAFBBA">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（三）按照本办法规定预留采购份额无法确保充分供应、充分竞争，或者存在可能影响政府采购目标实现的情形；</w:t>
      </w:r>
    </w:p>
    <w:p w14:paraId="3C710CA3">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（四）框架协议采购项目；</w:t>
      </w:r>
    </w:p>
    <w:p w14:paraId="5026F253">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（五）省级以上人民政府财政部门规定的其他情形。</w:t>
      </w:r>
    </w:p>
    <w:p w14:paraId="525707E0">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除上述情形外，其他均为适宜由中小企业提供的情形。</w:t>
      </w:r>
    </w:p>
    <w:p w14:paraId="62B27878">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第七条</w:t>
      </w:r>
      <w:r>
        <w:rPr>
          <w:rFonts w:hint="eastAsia" w:ascii="宋体" w:hAnsi="宋体" w:cs="宋体"/>
          <w:color w:val="auto"/>
          <w:sz w:val="21"/>
          <w:szCs w:val="21"/>
          <w:highlight w:val="none"/>
          <w:lang w:bidi="ar"/>
        </w:rPr>
        <w:t xml:space="preserve">  采购限额标准以上，200 万元以下的货物和服务采购项目、400 万元以下的工程采购项目，适宜由中小企业提供的，采购人应当专门面向中小企业采购。</w:t>
      </w:r>
    </w:p>
    <w:p w14:paraId="4BA2D59A">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第八条</w:t>
      </w:r>
      <w:r>
        <w:rPr>
          <w:rFonts w:hint="eastAsia" w:ascii="宋体" w:hAnsi="宋体" w:cs="宋体"/>
          <w:color w:val="auto"/>
          <w:sz w:val="21"/>
          <w:szCs w:val="21"/>
          <w:highlight w:val="none"/>
          <w:lang w:bidi="ar"/>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5397AB10">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（一）将采购项目整体或者设置采购包专门面向中小企业采购；</w:t>
      </w:r>
    </w:p>
    <w:p w14:paraId="5A12F866">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（二）要求供应商以联合体形式参加采购活动，且联合体中中小企业承担的部分达到一定比例；</w:t>
      </w:r>
    </w:p>
    <w:p w14:paraId="67DEAD2C">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（三）要求获得采购合同的供应商将采购项目中的一定比例分包给一家或者多家中小企业。</w:t>
      </w:r>
    </w:p>
    <w:p w14:paraId="0AEA45B0">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组成联合体或者接受分包合同的中小企业与联合体内其他企业、分包企业之间不得存在直接控股、管理关系。</w:t>
      </w:r>
    </w:p>
    <w:p w14:paraId="620BCD08">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第九条</w:t>
      </w:r>
      <w:r>
        <w:rPr>
          <w:rFonts w:hint="eastAsia" w:ascii="宋体" w:hAnsi="宋体" w:cs="宋体"/>
          <w:color w:val="auto"/>
          <w:sz w:val="21"/>
          <w:szCs w:val="21"/>
          <w:highlight w:val="none"/>
          <w:lang w:bidi="ar"/>
        </w:rPr>
        <w:t xml:space="preserve">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19A16276">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25D82D1">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AADF872">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第十条</w:t>
      </w:r>
      <w:r>
        <w:rPr>
          <w:rFonts w:hint="eastAsia" w:ascii="宋体" w:hAnsi="宋体" w:cs="宋体"/>
          <w:color w:val="auto"/>
          <w:sz w:val="21"/>
          <w:szCs w:val="21"/>
          <w:highlight w:val="none"/>
          <w:lang w:bidi="ar"/>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392023CA">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第十一条</w:t>
      </w:r>
      <w:r>
        <w:rPr>
          <w:rFonts w:hint="eastAsia" w:ascii="宋体" w:hAnsi="宋体" w:cs="宋体"/>
          <w:color w:val="auto"/>
          <w:sz w:val="21"/>
          <w:szCs w:val="21"/>
          <w:highlight w:val="none"/>
          <w:lang w:bidi="ar"/>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3704ED37">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第十二条</w:t>
      </w:r>
      <w:r>
        <w:rPr>
          <w:rFonts w:hint="eastAsia" w:ascii="宋体" w:hAnsi="宋体" w:cs="宋体"/>
          <w:color w:val="auto"/>
          <w:sz w:val="21"/>
          <w:szCs w:val="21"/>
          <w:highlight w:val="none"/>
          <w:lang w:bidi="ar"/>
        </w:rPr>
        <w:t xml:space="preserve">  采购项目涉及中小企业采购的，采购文件应当明确以下内容：</w:t>
      </w:r>
    </w:p>
    <w:p w14:paraId="30D50306">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（一）预留份额的采购项目或者采购包，明确该项目或相关采购包专门面向中小企业采购，以及相关标的及预算金额；</w:t>
      </w:r>
    </w:p>
    <w:p w14:paraId="1D321CAC">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（二）要求以联合体形式参加或者合同分包的，明确联合协议或者分包意向协议中中小企业合同金额应当达到的比例，并作为供应商资格条件；</w:t>
      </w:r>
    </w:p>
    <w:p w14:paraId="2E5EF1C6">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（三）非预留份额的采购项目或者采购包，明确有关价格扣除比例或者价格分加分比例；</w:t>
      </w:r>
    </w:p>
    <w:p w14:paraId="6AC6B4A6">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（四）规定依据本办法规定享受扶持政策获得政府采购合同的，小微企业不得将合同分包给大中型企业，中型企业不得将合同分包给大型企业；</w:t>
      </w:r>
    </w:p>
    <w:p w14:paraId="02CAF661">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（五）采购人认为具备相关条件的，明确对中小企业在资金支付期限、预付款比例等方面的优惠措施；</w:t>
      </w:r>
    </w:p>
    <w:p w14:paraId="7AA5AE1D">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（六）明确采购标的对应的中小企业划分标准所属行业；</w:t>
      </w:r>
    </w:p>
    <w:p w14:paraId="4537187F">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（七）法律法规和省级以上人民政府财政部门规定的其他事项。</w:t>
      </w:r>
    </w:p>
    <w:p w14:paraId="483CD93A">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第十三条</w:t>
      </w:r>
      <w:r>
        <w:rPr>
          <w:rFonts w:hint="eastAsia" w:ascii="宋体" w:hAnsi="宋体" w:cs="宋体"/>
          <w:color w:val="auto"/>
          <w:sz w:val="21"/>
          <w:szCs w:val="21"/>
          <w:highlight w:val="none"/>
          <w:lang w:bidi="ar"/>
        </w:rPr>
        <w:t xml:space="preserve">  中标、成交供应商享受本办法规定的中小企业扶持政策的，采购人、采购代理机构应当随中标、成交结果公开中标、成交供应商的《中小企业声明函》。</w:t>
      </w:r>
    </w:p>
    <w:p w14:paraId="7FAF3C0E">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适用招标投标法的政府采购工程建设项目，应当在公示中标候选人时公开中标候选人的《中小企业声明函》。</w:t>
      </w:r>
    </w:p>
    <w:p w14:paraId="57CDE37F">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第十四条</w:t>
      </w:r>
      <w:r>
        <w:rPr>
          <w:rFonts w:hint="eastAsia" w:ascii="宋体" w:hAnsi="宋体" w:cs="宋体"/>
          <w:color w:val="auto"/>
          <w:sz w:val="21"/>
          <w:szCs w:val="21"/>
          <w:highlight w:val="none"/>
          <w:lang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AF1A204">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第十五条</w:t>
      </w:r>
      <w:r>
        <w:rPr>
          <w:rFonts w:hint="eastAsia" w:ascii="宋体" w:hAnsi="宋体" w:cs="宋体"/>
          <w:color w:val="auto"/>
          <w:sz w:val="21"/>
          <w:szCs w:val="21"/>
          <w:highlight w:val="none"/>
          <w:lang w:bidi="ar"/>
        </w:rPr>
        <w:t xml:space="preserve">  鼓励各地区、各部门在采购活动中允许中小企业引入信用担保手段，为中小企业在投标（响应）保证、履约保证等方面提供专业化服务。鼓励中小企业依法合规通过政府采购合同融资。</w:t>
      </w:r>
    </w:p>
    <w:p w14:paraId="7FB3487F">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第十六条</w:t>
      </w:r>
      <w:r>
        <w:rPr>
          <w:rFonts w:hint="eastAsia" w:ascii="宋体" w:hAnsi="宋体" w:cs="宋体"/>
          <w:color w:val="auto"/>
          <w:sz w:val="21"/>
          <w:szCs w:val="21"/>
          <w:highlight w:val="none"/>
          <w:lang w:bidi="ar"/>
        </w:rPr>
        <w:t xml:space="preserve">  政府采购监督检查、投诉处理及政府采购行政处罚中对中小企业的认定，由货物制造商或者工程、服务供应商注册登记所在地的县级以上人民政府中小企业主管部门负责。</w:t>
      </w:r>
    </w:p>
    <w:p w14:paraId="79060576">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中小企业主管部门应当在收到财政部门或者有关招标投标行政监督部门关于协助开展中小企业认定函后 10 个工作日内做出书面答复。</w:t>
      </w:r>
    </w:p>
    <w:p w14:paraId="27776110">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第十七条</w:t>
      </w:r>
      <w:r>
        <w:rPr>
          <w:rFonts w:hint="eastAsia" w:ascii="宋体" w:hAnsi="宋体" w:cs="宋体"/>
          <w:color w:val="auto"/>
          <w:sz w:val="21"/>
          <w:szCs w:val="21"/>
          <w:highlight w:val="none"/>
          <w:lang w:bidi="ar"/>
        </w:rPr>
        <w:t xml:space="preserve">  各地区、各部门应当对涉及中小企业采购的预算项目实施全过程绩效管理，合理设置绩效目标和指标，落实扶持中小企业有关政策要求，定期开展绩效监控和评价，强化绩效评价结果应用。</w:t>
      </w:r>
    </w:p>
    <w:p w14:paraId="40530901">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第十八条</w:t>
      </w:r>
      <w:r>
        <w:rPr>
          <w:rFonts w:hint="eastAsia" w:ascii="宋体" w:hAnsi="宋体" w:cs="宋体"/>
          <w:color w:val="auto"/>
          <w:sz w:val="21"/>
          <w:szCs w:val="21"/>
          <w:highlight w:val="none"/>
          <w:lang w:bidi="ar"/>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3C7ABC5F">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第十九条</w:t>
      </w:r>
      <w:r>
        <w:rPr>
          <w:rFonts w:hint="eastAsia" w:ascii="宋体" w:hAnsi="宋体" w:cs="宋体"/>
          <w:color w:val="auto"/>
          <w:sz w:val="21"/>
          <w:szCs w:val="21"/>
          <w:highlight w:val="none"/>
          <w:lang w:bidi="ar"/>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2C5CF44">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第二十条</w:t>
      </w:r>
      <w:r>
        <w:rPr>
          <w:rFonts w:hint="eastAsia" w:ascii="宋体" w:hAnsi="宋体" w:cs="宋体"/>
          <w:color w:val="auto"/>
          <w:sz w:val="21"/>
          <w:szCs w:val="21"/>
          <w:highlight w:val="none"/>
          <w:lang w:bidi="ar"/>
        </w:rPr>
        <w:t xml:space="preserve">  供应商按照本办法规定提供声明函内容不实的，属于提供虚假材料谋取中标、成交，依照《中华人民共和国政府采购法》等国家有关规定追究相应责任。</w:t>
      </w:r>
    </w:p>
    <w:p w14:paraId="349F9EF1">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适用招标投标法的政府采购工程建设项目，供应商按照本办法规定提供声明函内容不实的，属于弄虚作假骗取中标，依照《中华人民共和国招标投标法》等国家有关规定追究相应责任。</w:t>
      </w:r>
    </w:p>
    <w:p w14:paraId="345FF35F">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第二十一条</w:t>
      </w:r>
      <w:r>
        <w:rPr>
          <w:rFonts w:hint="eastAsia" w:ascii="宋体" w:hAnsi="宋体" w:cs="宋体"/>
          <w:color w:val="auto"/>
          <w:sz w:val="21"/>
          <w:szCs w:val="21"/>
          <w:highlight w:val="none"/>
          <w:lang w:bidi="ar"/>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C2D56B1">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第二十二条</w:t>
      </w:r>
      <w:r>
        <w:rPr>
          <w:rFonts w:hint="eastAsia" w:ascii="宋体" w:hAnsi="宋体" w:cs="宋体"/>
          <w:color w:val="auto"/>
          <w:sz w:val="21"/>
          <w:szCs w:val="21"/>
          <w:highlight w:val="none"/>
          <w:lang w:bidi="ar"/>
        </w:rPr>
        <w:t xml:space="preserve">  对外援助项目、国家相关资格或者资质管理制度另有规定的项目，不适用本办法。</w:t>
      </w:r>
    </w:p>
    <w:p w14:paraId="654545DA">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第二十三条</w:t>
      </w:r>
      <w:r>
        <w:rPr>
          <w:rFonts w:hint="eastAsia" w:ascii="宋体" w:hAnsi="宋体" w:cs="宋体"/>
          <w:color w:val="auto"/>
          <w:sz w:val="21"/>
          <w:szCs w:val="21"/>
          <w:highlight w:val="none"/>
          <w:lang w:bidi="ar"/>
        </w:rPr>
        <w:t xml:space="preserve">  关于视同中小企业的其他主体的政府采购扶持政策，由财政部会同有关部门另行规定。</w:t>
      </w:r>
    </w:p>
    <w:p w14:paraId="5C47DF37">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第二十四条</w:t>
      </w:r>
      <w:r>
        <w:rPr>
          <w:rFonts w:hint="eastAsia" w:ascii="宋体" w:hAnsi="宋体" w:cs="宋体"/>
          <w:color w:val="auto"/>
          <w:sz w:val="21"/>
          <w:szCs w:val="21"/>
          <w:highlight w:val="none"/>
          <w:lang w:bidi="ar"/>
        </w:rPr>
        <w:t xml:space="preserve">  省级财政部门可以会同中小企业主管部门根据本办法的规定制定具体实施办法。</w:t>
      </w:r>
    </w:p>
    <w:p w14:paraId="18AF3A23">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第二十五条</w:t>
      </w:r>
      <w:r>
        <w:rPr>
          <w:rFonts w:hint="eastAsia" w:ascii="宋体" w:hAnsi="宋体" w:cs="宋体"/>
          <w:color w:val="auto"/>
          <w:sz w:val="21"/>
          <w:szCs w:val="21"/>
          <w:highlight w:val="none"/>
          <w:lang w:bidi="ar"/>
        </w:rPr>
        <w:t xml:space="preserve">  本办法自 2021 年 1 月 1 日起施行。 财政部 工业和信息化部关于印发〈政府采购促进中小企业发展暂行办法〉的通知》（财库﹝2011﹞181 号）同时废止。</w:t>
      </w:r>
    </w:p>
    <w:p w14:paraId="5AF9615E">
      <w:pPr>
        <w:spacing w:before="100" w:beforeAutospacing="1" w:after="100" w:afterAutospacing="1" w:line="288" w:lineRule="auto"/>
        <w:rPr>
          <w:rFonts w:ascii="宋体" w:hAnsi="宋体" w:cs="宋体"/>
          <w:color w:val="auto"/>
          <w:sz w:val="24"/>
          <w:szCs w:val="24"/>
          <w:highlight w:val="none"/>
        </w:rPr>
      </w:pPr>
      <w:r>
        <w:rPr>
          <w:rFonts w:hint="eastAsia" w:ascii="宋体" w:hAnsi="宋体" w:cs="宋体"/>
          <w:color w:val="auto"/>
          <w:sz w:val="24"/>
          <w:szCs w:val="24"/>
          <w:highlight w:val="none"/>
          <w:lang w:bidi="ar"/>
        </w:rPr>
        <w:t> </w:t>
      </w:r>
    </w:p>
    <w:p w14:paraId="73603322">
      <w:pPr>
        <w:spacing w:line="360" w:lineRule="auto"/>
        <w:jc w:val="center"/>
        <w:rPr>
          <w:rFonts w:ascii="宋体" w:hAnsi="宋体" w:cs="宋体"/>
          <w:b/>
          <w:color w:val="auto"/>
          <w:sz w:val="32"/>
          <w:szCs w:val="32"/>
          <w:highlight w:val="none"/>
        </w:rPr>
      </w:pPr>
      <w:r>
        <w:rPr>
          <w:rFonts w:hint="eastAsia" w:ascii="宋体" w:hAnsi="宋体" w:cs="宋体"/>
          <w:b/>
          <w:bCs/>
          <w:color w:val="auto"/>
          <w:sz w:val="21"/>
          <w:szCs w:val="21"/>
          <w:highlight w:val="none"/>
        </w:rPr>
        <w:br w:type="page"/>
      </w:r>
      <w:r>
        <w:rPr>
          <w:rFonts w:hint="eastAsia" w:ascii="宋体" w:hAnsi="宋体" w:cs="宋体"/>
          <w:b/>
          <w:color w:val="auto"/>
          <w:sz w:val="32"/>
          <w:szCs w:val="32"/>
          <w:highlight w:val="none"/>
        </w:rPr>
        <w:t>财政部关于进一步加大政府采购支持中小企业力度的通知</w:t>
      </w:r>
    </w:p>
    <w:p w14:paraId="601FF25F">
      <w:pPr>
        <w:spacing w:line="360" w:lineRule="auto"/>
        <w:jc w:val="center"/>
        <w:rPr>
          <w:rFonts w:ascii="宋体" w:hAnsi="宋体" w:cs="宋体"/>
          <w:bCs/>
          <w:color w:val="auto"/>
          <w:sz w:val="21"/>
          <w:szCs w:val="21"/>
          <w:highlight w:val="none"/>
        </w:rPr>
      </w:pPr>
      <w:r>
        <w:rPr>
          <w:rFonts w:hint="eastAsia" w:ascii="宋体" w:hAnsi="宋体" w:cs="宋体"/>
          <w:b/>
          <w:color w:val="auto"/>
          <w:sz w:val="32"/>
          <w:szCs w:val="32"/>
          <w:highlight w:val="none"/>
        </w:rPr>
        <w:t>（财库〔2022〕19号）</w:t>
      </w:r>
    </w:p>
    <w:p w14:paraId="5A95D84E">
      <w:pPr>
        <w:pStyle w:val="16"/>
        <w:spacing w:after="0" w:line="340" w:lineRule="exact"/>
        <w:rPr>
          <w:rFonts w:ascii="宋体" w:hAnsi="宋体" w:cs="宋体"/>
          <w:bCs/>
          <w:color w:val="auto"/>
          <w:sz w:val="21"/>
          <w:szCs w:val="21"/>
          <w:highlight w:val="none"/>
        </w:rPr>
      </w:pPr>
      <w:r>
        <w:rPr>
          <w:rFonts w:hint="eastAsia" w:ascii="宋体" w:hAnsi="宋体" w:cs="宋体"/>
          <w:bCs/>
          <w:color w:val="auto"/>
          <w:sz w:val="21"/>
          <w:szCs w:val="21"/>
          <w:highlight w:val="none"/>
        </w:rPr>
        <w:t>各中央预算单位，各省、自治区、直辖市、计划单列市财政厅（局），新疆生产建设兵团财政局：</w:t>
      </w:r>
    </w:p>
    <w:p w14:paraId="396B2E46">
      <w:pPr>
        <w:pStyle w:val="16"/>
        <w:spacing w:after="0" w:line="34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0EC87CA">
      <w:pPr>
        <w:pStyle w:val="16"/>
        <w:spacing w:after="0" w:line="34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7CD3570">
      <w:pPr>
        <w:pStyle w:val="16"/>
        <w:spacing w:after="0" w:line="34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B3B11C3">
      <w:pPr>
        <w:pStyle w:val="16"/>
        <w:spacing w:after="0" w:line="34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EB55756">
      <w:pPr>
        <w:pStyle w:val="16"/>
        <w:spacing w:after="0" w:line="34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四、认真做好组织实施。各地区、各部门应当加强组织领导，明确工作责任，细化执行要求，强化监督检查，确保国务院部署落实到位，对通知执行中出现的问题要及时向财政部报告。</w:t>
      </w:r>
    </w:p>
    <w:p w14:paraId="5B042D7C">
      <w:pPr>
        <w:pStyle w:val="16"/>
        <w:spacing w:after="0" w:line="34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本通知自2022年7月1日起执行。</w:t>
      </w:r>
    </w:p>
    <w:p w14:paraId="1A60A190">
      <w:pPr>
        <w:pStyle w:val="19"/>
        <w:ind w:right="38"/>
        <w:rPr>
          <w:rFonts w:ascii="宋体" w:hAnsi="宋体" w:cs="宋体"/>
          <w:bCs/>
          <w:color w:val="auto"/>
          <w:szCs w:val="21"/>
          <w:highlight w:val="none"/>
        </w:rPr>
      </w:pPr>
    </w:p>
    <w:p w14:paraId="7FA270C2">
      <w:pPr>
        <w:rPr>
          <w:rFonts w:ascii="宋体" w:hAnsi="宋体" w:cs="宋体"/>
          <w:bCs/>
          <w:color w:val="auto"/>
          <w:sz w:val="21"/>
          <w:szCs w:val="21"/>
          <w:highlight w:val="none"/>
        </w:rPr>
      </w:pPr>
    </w:p>
    <w:p w14:paraId="13D00CA7">
      <w:pPr>
        <w:rPr>
          <w:rFonts w:ascii="宋体" w:hAnsi="宋体" w:cs="宋体"/>
          <w:color w:val="auto"/>
          <w:sz w:val="21"/>
          <w:szCs w:val="21"/>
          <w:highlight w:val="none"/>
        </w:rPr>
      </w:pPr>
    </w:p>
    <w:p w14:paraId="2DF49820">
      <w:pPr>
        <w:pStyle w:val="16"/>
        <w:spacing w:after="0" w:line="340" w:lineRule="exact"/>
        <w:ind w:firstLine="420" w:firstLineChars="200"/>
        <w:jc w:val="right"/>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                                                                        财政部</w:t>
      </w:r>
    </w:p>
    <w:p w14:paraId="227B5F8F">
      <w:pPr>
        <w:spacing w:line="400" w:lineRule="exact"/>
        <w:jc w:val="left"/>
        <w:rPr>
          <w:rFonts w:ascii="黑体" w:hAnsi="黑体" w:eastAsia="黑体" w:cs="宋体"/>
          <w:bCs/>
          <w:color w:val="auto"/>
          <w:sz w:val="28"/>
          <w:szCs w:val="28"/>
          <w:highlight w:val="none"/>
          <w:shd w:val="clear" w:color="auto" w:fill="FFFFFF"/>
        </w:rPr>
      </w:pPr>
      <w:r>
        <w:rPr>
          <w:rFonts w:hint="eastAsia" w:ascii="宋体" w:hAnsi="宋体" w:cs="宋体"/>
          <w:bCs/>
          <w:color w:val="auto"/>
          <w:sz w:val="21"/>
          <w:szCs w:val="21"/>
          <w:highlight w:val="none"/>
        </w:rPr>
        <w:t>2022年5月30日</w:t>
      </w:r>
      <w:r>
        <w:rPr>
          <w:rFonts w:hint="eastAsia" w:ascii="宋体" w:hAnsi="宋体" w:cs="宋体"/>
          <w:bCs/>
          <w:color w:val="auto"/>
          <w:sz w:val="21"/>
          <w:szCs w:val="21"/>
          <w:highlight w:val="none"/>
        </w:rPr>
        <w:br w:type="page"/>
      </w:r>
      <w:r>
        <w:rPr>
          <w:rFonts w:hint="eastAsia" w:ascii="黑体" w:hAnsi="黑体" w:eastAsia="黑体" w:cs="宋体"/>
          <w:bCs/>
          <w:color w:val="auto"/>
          <w:sz w:val="32"/>
          <w:szCs w:val="32"/>
          <w:highlight w:val="none"/>
          <w:shd w:val="clear" w:color="auto" w:fill="FFFFFF"/>
        </w:rPr>
        <w:t>关于印发《吉林省强化政府采购政策支持中小企业发展落实举措》的通知</w:t>
      </w:r>
    </w:p>
    <w:p w14:paraId="04044A31">
      <w:pPr>
        <w:pStyle w:val="37"/>
        <w:spacing w:before="120" w:beforeLines="50" w:after="120" w:afterLines="50" w:line="400" w:lineRule="exact"/>
        <w:jc w:val="center"/>
        <w:rPr>
          <w:color w:val="auto"/>
          <w:highlight w:val="none"/>
        </w:rPr>
      </w:pPr>
      <w:r>
        <w:rPr>
          <w:rFonts w:ascii="宋体" w:hAnsi="宋体" w:cs="宋体"/>
          <w:color w:val="auto"/>
          <w:highlight w:val="none"/>
        </w:rPr>
        <w:t>吉财采购〔2022〕478号</w:t>
      </w:r>
      <w:r>
        <w:rPr>
          <w:color w:val="auto"/>
          <w:highlight w:val="none"/>
        </w:rPr>
        <w:t xml:space="preserve"> </w:t>
      </w:r>
    </w:p>
    <w:p w14:paraId="4DE539A8">
      <w:pPr>
        <w:pStyle w:val="37"/>
        <w:spacing w:line="400" w:lineRule="exact"/>
        <w:rPr>
          <w:color w:val="auto"/>
          <w:highlight w:val="none"/>
        </w:rPr>
      </w:pPr>
      <w:r>
        <w:rPr>
          <w:rFonts w:hint="eastAsia" w:ascii="宋体" w:hAnsi="宋体" w:cs="宋体"/>
          <w:color w:val="auto"/>
          <w:highlight w:val="none"/>
        </w:rPr>
        <w:t>各省级主管预算单位，各市（州）、县（市、区）财政局，长白山管委会、长春新区、中韩（长春）国际合作示范区管委会财政局，各政府采购代理机构：</w:t>
      </w:r>
      <w:r>
        <w:rPr>
          <w:color w:val="auto"/>
          <w:highlight w:val="none"/>
        </w:rPr>
        <w:t xml:space="preserve"> </w:t>
      </w:r>
    </w:p>
    <w:p w14:paraId="255CF49E">
      <w:pPr>
        <w:pStyle w:val="37"/>
        <w:spacing w:line="400" w:lineRule="exact"/>
        <w:ind w:firstLine="480" w:firstLineChars="200"/>
        <w:rPr>
          <w:color w:val="auto"/>
          <w:highlight w:val="none"/>
        </w:rPr>
      </w:pPr>
      <w:r>
        <w:rPr>
          <w:rFonts w:hint="eastAsia" w:ascii="宋体" w:hAnsi="宋体" w:cs="宋体"/>
          <w:color w:val="auto"/>
          <w:highlight w:val="none"/>
        </w:rPr>
        <w:t>现将《吉林省强化政府采购政策支持中小企业发展落实举措》印发给你们，请遵照执行。</w:t>
      </w:r>
      <w:r>
        <w:rPr>
          <w:color w:val="auto"/>
          <w:highlight w:val="none"/>
        </w:rPr>
        <w:t xml:space="preserve"> </w:t>
      </w:r>
    </w:p>
    <w:p w14:paraId="5D15D3D5">
      <w:pPr>
        <w:pStyle w:val="37"/>
        <w:spacing w:line="400" w:lineRule="exact"/>
        <w:ind w:firstLine="480" w:firstLineChars="200"/>
        <w:rPr>
          <w:color w:val="auto"/>
          <w:highlight w:val="none"/>
        </w:rPr>
      </w:pPr>
      <w:r>
        <w:rPr>
          <w:rFonts w:hint="eastAsia" w:ascii="宋体" w:hAnsi="宋体" w:cs="宋体"/>
          <w:color w:val="auto"/>
          <w:highlight w:val="none"/>
        </w:rPr>
        <w:t>附件：吉林省强化政府采购政策支持中小企业发展落实举措</w:t>
      </w:r>
      <w:r>
        <w:rPr>
          <w:color w:val="auto"/>
          <w:highlight w:val="none"/>
        </w:rPr>
        <w:t xml:space="preserve"> </w:t>
      </w:r>
    </w:p>
    <w:p w14:paraId="529279E3">
      <w:pPr>
        <w:pStyle w:val="37"/>
        <w:spacing w:line="400" w:lineRule="exact"/>
        <w:ind w:firstLine="645"/>
        <w:jc w:val="right"/>
        <w:rPr>
          <w:color w:val="auto"/>
          <w:highlight w:val="none"/>
        </w:rPr>
      </w:pPr>
      <w:r>
        <w:rPr>
          <w:rFonts w:hint="eastAsia" w:ascii="宋体" w:hAnsi="宋体" w:cs="宋体"/>
          <w:color w:val="auto"/>
          <w:highlight w:val="none"/>
        </w:rPr>
        <w:t>吉林省财政厅</w:t>
      </w:r>
      <w:r>
        <w:rPr>
          <w:color w:val="auto"/>
          <w:highlight w:val="none"/>
        </w:rPr>
        <w:t xml:space="preserve"> </w:t>
      </w:r>
    </w:p>
    <w:p w14:paraId="351C8B11">
      <w:pPr>
        <w:pStyle w:val="37"/>
        <w:spacing w:line="400" w:lineRule="exact"/>
        <w:ind w:firstLine="645"/>
        <w:jc w:val="right"/>
        <w:rPr>
          <w:color w:val="auto"/>
          <w:highlight w:val="none"/>
        </w:rPr>
      </w:pPr>
      <w:r>
        <w:rPr>
          <w:rFonts w:ascii="宋体" w:hAnsi="宋体" w:cs="宋体"/>
          <w:color w:val="auto"/>
          <w:highlight w:val="none"/>
        </w:rPr>
        <w:t>2022年6月6日</w:t>
      </w:r>
      <w:r>
        <w:rPr>
          <w:color w:val="auto"/>
          <w:highlight w:val="none"/>
        </w:rPr>
        <w:t xml:space="preserve"> </w:t>
      </w:r>
    </w:p>
    <w:p w14:paraId="14F63E7E">
      <w:pPr>
        <w:pStyle w:val="37"/>
        <w:spacing w:line="400" w:lineRule="exact"/>
        <w:rPr>
          <w:color w:val="auto"/>
          <w:highlight w:val="none"/>
        </w:rPr>
      </w:pPr>
      <w:r>
        <w:rPr>
          <w:rFonts w:hint="eastAsia" w:ascii="宋体" w:hAnsi="宋体" w:cs="宋体"/>
          <w:color w:val="auto"/>
          <w:highlight w:val="none"/>
        </w:rPr>
        <w:t>附件：</w:t>
      </w:r>
      <w:r>
        <w:rPr>
          <w:color w:val="auto"/>
          <w:highlight w:val="none"/>
        </w:rPr>
        <w:t xml:space="preserve"> </w:t>
      </w:r>
    </w:p>
    <w:p w14:paraId="536BB407">
      <w:pPr>
        <w:pStyle w:val="37"/>
        <w:spacing w:line="400" w:lineRule="exact"/>
        <w:ind w:firstLine="645"/>
        <w:rPr>
          <w:color w:val="auto"/>
          <w:highlight w:val="none"/>
        </w:rPr>
      </w:pPr>
      <w:r>
        <w:rPr>
          <w:rFonts w:hint="eastAsia" w:ascii="宋体" w:hAnsi="宋体" w:cs="宋体"/>
          <w:color w:val="auto"/>
          <w:highlight w:val="none"/>
        </w:rPr>
        <w:t> </w:t>
      </w:r>
      <w:r>
        <w:rPr>
          <w:color w:val="auto"/>
          <w:highlight w:val="none"/>
        </w:rPr>
        <w:t xml:space="preserve"> </w:t>
      </w:r>
    </w:p>
    <w:p w14:paraId="5CC8A429">
      <w:pPr>
        <w:pStyle w:val="37"/>
        <w:spacing w:line="400" w:lineRule="exact"/>
        <w:jc w:val="center"/>
        <w:rPr>
          <w:color w:val="auto"/>
          <w:sz w:val="28"/>
          <w:szCs w:val="28"/>
          <w:highlight w:val="none"/>
        </w:rPr>
      </w:pPr>
      <w:r>
        <w:rPr>
          <w:rFonts w:hint="eastAsia" w:ascii="宋体" w:hAnsi="宋体" w:cs="宋体"/>
          <w:color w:val="auto"/>
          <w:sz w:val="28"/>
          <w:szCs w:val="28"/>
          <w:highlight w:val="none"/>
        </w:rPr>
        <w:t>吉林省强化政府采购政策支持中小企业发展落实举措</w:t>
      </w:r>
      <w:r>
        <w:rPr>
          <w:color w:val="auto"/>
          <w:sz w:val="28"/>
          <w:szCs w:val="28"/>
          <w:highlight w:val="none"/>
        </w:rPr>
        <w:t xml:space="preserve"> </w:t>
      </w:r>
    </w:p>
    <w:p w14:paraId="18061C1C">
      <w:pPr>
        <w:pStyle w:val="37"/>
        <w:spacing w:line="400" w:lineRule="exact"/>
        <w:ind w:firstLine="645"/>
        <w:rPr>
          <w:color w:val="auto"/>
          <w:highlight w:val="none"/>
        </w:rPr>
      </w:pPr>
      <w:r>
        <w:rPr>
          <w:rFonts w:hint="eastAsia" w:ascii="宋体" w:hAnsi="宋体" w:cs="宋体"/>
          <w:color w:val="auto"/>
          <w:highlight w:val="none"/>
        </w:rPr>
        <w:t> </w:t>
      </w:r>
      <w:r>
        <w:rPr>
          <w:color w:val="auto"/>
          <w:highlight w:val="none"/>
        </w:rPr>
        <w:t xml:space="preserve"> </w:t>
      </w:r>
    </w:p>
    <w:p w14:paraId="39489F07">
      <w:pPr>
        <w:pStyle w:val="37"/>
        <w:spacing w:line="400" w:lineRule="exact"/>
        <w:ind w:firstLine="645"/>
        <w:rPr>
          <w:color w:val="auto"/>
          <w:sz w:val="21"/>
          <w:szCs w:val="21"/>
          <w:highlight w:val="none"/>
        </w:rPr>
      </w:pPr>
      <w:r>
        <w:rPr>
          <w:rFonts w:ascii="宋体" w:hAnsi="宋体" w:cs="宋体"/>
          <w:color w:val="auto"/>
          <w:sz w:val="21"/>
          <w:szCs w:val="21"/>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color w:val="auto"/>
          <w:sz w:val="21"/>
          <w:szCs w:val="21"/>
          <w:highlight w:val="none"/>
        </w:rPr>
        <w:t xml:space="preserve"> </w:t>
      </w:r>
    </w:p>
    <w:p w14:paraId="1778B410">
      <w:pPr>
        <w:pStyle w:val="37"/>
        <w:spacing w:line="400" w:lineRule="exact"/>
        <w:ind w:firstLine="645"/>
        <w:rPr>
          <w:b/>
          <w:bCs/>
          <w:color w:val="auto"/>
          <w:sz w:val="21"/>
          <w:szCs w:val="21"/>
          <w:highlight w:val="none"/>
        </w:rPr>
      </w:pPr>
      <w:r>
        <w:rPr>
          <w:rFonts w:hint="eastAsia" w:ascii="宋体" w:hAnsi="宋体" w:cs="宋体"/>
          <w:b/>
          <w:bCs/>
          <w:color w:val="auto"/>
          <w:sz w:val="21"/>
          <w:szCs w:val="21"/>
          <w:highlight w:val="none"/>
        </w:rPr>
        <w:t>一、强化政策落实支持中小企业发展</w:t>
      </w:r>
      <w:r>
        <w:rPr>
          <w:b/>
          <w:bCs/>
          <w:color w:val="auto"/>
          <w:sz w:val="21"/>
          <w:szCs w:val="21"/>
          <w:highlight w:val="none"/>
        </w:rPr>
        <w:t xml:space="preserve"> </w:t>
      </w:r>
    </w:p>
    <w:p w14:paraId="40681528">
      <w:pPr>
        <w:pStyle w:val="37"/>
        <w:spacing w:line="400" w:lineRule="exact"/>
        <w:ind w:firstLine="645"/>
        <w:rPr>
          <w:color w:val="auto"/>
          <w:sz w:val="21"/>
          <w:szCs w:val="21"/>
          <w:highlight w:val="none"/>
        </w:rPr>
      </w:pPr>
      <w:r>
        <w:rPr>
          <w:rFonts w:ascii="宋体" w:hAnsi="宋体" w:cs="宋体"/>
          <w:color w:val="auto"/>
          <w:sz w:val="21"/>
          <w:szCs w:val="21"/>
          <w:highlight w:val="none"/>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color w:val="auto"/>
          <w:sz w:val="21"/>
          <w:szCs w:val="21"/>
          <w:highlight w:val="none"/>
        </w:rPr>
        <w:t xml:space="preserve"> </w:t>
      </w:r>
    </w:p>
    <w:p w14:paraId="2459CAC9">
      <w:pPr>
        <w:pStyle w:val="37"/>
        <w:spacing w:line="400" w:lineRule="exact"/>
        <w:ind w:firstLine="645"/>
        <w:rPr>
          <w:b/>
          <w:bCs/>
          <w:color w:val="auto"/>
          <w:sz w:val="21"/>
          <w:szCs w:val="21"/>
          <w:highlight w:val="none"/>
        </w:rPr>
      </w:pPr>
      <w:r>
        <w:rPr>
          <w:rFonts w:hint="eastAsia" w:ascii="宋体" w:hAnsi="宋体" w:cs="宋体"/>
          <w:b/>
          <w:bCs/>
          <w:color w:val="auto"/>
          <w:sz w:val="21"/>
          <w:szCs w:val="21"/>
          <w:highlight w:val="none"/>
        </w:rPr>
        <w:t>二、提高政府采购项目价格评审优惠幅度</w:t>
      </w:r>
      <w:r>
        <w:rPr>
          <w:b/>
          <w:bCs/>
          <w:color w:val="auto"/>
          <w:sz w:val="21"/>
          <w:szCs w:val="21"/>
          <w:highlight w:val="none"/>
        </w:rPr>
        <w:t xml:space="preserve"> </w:t>
      </w:r>
    </w:p>
    <w:p w14:paraId="2E84B805">
      <w:pPr>
        <w:pStyle w:val="37"/>
        <w:spacing w:line="400" w:lineRule="exact"/>
        <w:ind w:firstLine="645"/>
        <w:rPr>
          <w:color w:val="auto"/>
          <w:sz w:val="21"/>
          <w:szCs w:val="21"/>
          <w:highlight w:val="none"/>
        </w:rPr>
      </w:pPr>
      <w:r>
        <w:rPr>
          <w:rFonts w:ascii="宋体" w:hAnsi="宋体" w:cs="宋体"/>
          <w:color w:val="auto"/>
          <w:sz w:val="21"/>
          <w:szCs w:val="21"/>
          <w:highlight w:val="none"/>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color w:val="auto"/>
          <w:sz w:val="21"/>
          <w:szCs w:val="21"/>
          <w:highlight w:val="none"/>
        </w:rPr>
        <w:t xml:space="preserve"> </w:t>
      </w:r>
    </w:p>
    <w:p w14:paraId="7A5593F6">
      <w:pPr>
        <w:pStyle w:val="37"/>
        <w:spacing w:line="400" w:lineRule="exact"/>
        <w:ind w:firstLine="645"/>
        <w:rPr>
          <w:b/>
          <w:bCs/>
          <w:color w:val="auto"/>
          <w:sz w:val="21"/>
          <w:szCs w:val="21"/>
          <w:highlight w:val="none"/>
        </w:rPr>
      </w:pPr>
      <w:r>
        <w:rPr>
          <w:rFonts w:hint="eastAsia" w:ascii="宋体" w:hAnsi="宋体" w:cs="宋体"/>
          <w:b/>
          <w:bCs/>
          <w:color w:val="auto"/>
          <w:sz w:val="21"/>
          <w:szCs w:val="21"/>
          <w:highlight w:val="none"/>
        </w:rPr>
        <w:t>三、提高政府采购工程项目预留份额比例</w:t>
      </w:r>
      <w:r>
        <w:rPr>
          <w:b/>
          <w:bCs/>
          <w:color w:val="auto"/>
          <w:sz w:val="21"/>
          <w:szCs w:val="21"/>
          <w:highlight w:val="none"/>
        </w:rPr>
        <w:t xml:space="preserve"> </w:t>
      </w:r>
    </w:p>
    <w:p w14:paraId="2F699024">
      <w:pPr>
        <w:pStyle w:val="37"/>
        <w:spacing w:line="400" w:lineRule="exact"/>
        <w:ind w:firstLine="645"/>
        <w:rPr>
          <w:color w:val="auto"/>
          <w:sz w:val="21"/>
          <w:szCs w:val="21"/>
          <w:highlight w:val="none"/>
        </w:rPr>
      </w:pPr>
      <w:r>
        <w:rPr>
          <w:rFonts w:ascii="宋体" w:hAnsi="宋体" w:cs="宋体"/>
          <w:color w:val="auto"/>
          <w:sz w:val="21"/>
          <w:szCs w:val="21"/>
          <w:highlight w:val="none"/>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color w:val="auto"/>
          <w:sz w:val="21"/>
          <w:szCs w:val="21"/>
          <w:highlight w:val="none"/>
        </w:rPr>
        <w:t xml:space="preserve"> </w:t>
      </w:r>
    </w:p>
    <w:p w14:paraId="712A2010">
      <w:pPr>
        <w:pStyle w:val="37"/>
        <w:spacing w:line="400" w:lineRule="exact"/>
        <w:ind w:firstLine="645"/>
        <w:rPr>
          <w:b/>
          <w:bCs/>
          <w:color w:val="auto"/>
          <w:sz w:val="21"/>
          <w:szCs w:val="21"/>
          <w:highlight w:val="none"/>
        </w:rPr>
      </w:pPr>
      <w:r>
        <w:rPr>
          <w:rFonts w:hint="eastAsia" w:ascii="宋体" w:hAnsi="宋体" w:cs="宋体"/>
          <w:b/>
          <w:bCs/>
          <w:color w:val="auto"/>
          <w:sz w:val="21"/>
          <w:szCs w:val="21"/>
          <w:highlight w:val="none"/>
        </w:rPr>
        <w:t>四、降低经营成本提高履约能力</w:t>
      </w:r>
      <w:r>
        <w:rPr>
          <w:b/>
          <w:bCs/>
          <w:color w:val="auto"/>
          <w:sz w:val="21"/>
          <w:szCs w:val="21"/>
          <w:highlight w:val="none"/>
        </w:rPr>
        <w:t xml:space="preserve"> </w:t>
      </w:r>
    </w:p>
    <w:p w14:paraId="21A4EE13">
      <w:pPr>
        <w:pStyle w:val="37"/>
        <w:spacing w:line="400" w:lineRule="exact"/>
        <w:ind w:firstLine="645"/>
        <w:rPr>
          <w:color w:val="auto"/>
          <w:sz w:val="21"/>
          <w:szCs w:val="21"/>
          <w:highlight w:val="none"/>
        </w:rPr>
      </w:pPr>
      <w:r>
        <w:rPr>
          <w:rFonts w:ascii="宋体" w:hAnsi="宋体" w:cs="宋体"/>
          <w:color w:val="auto"/>
          <w:sz w:val="21"/>
          <w:szCs w:val="21"/>
          <w:highlight w:val="none"/>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color w:val="auto"/>
          <w:sz w:val="21"/>
          <w:szCs w:val="21"/>
          <w:highlight w:val="none"/>
        </w:rPr>
        <w:t xml:space="preserve"> </w:t>
      </w:r>
    </w:p>
    <w:p w14:paraId="1E9ACB86">
      <w:pPr>
        <w:pStyle w:val="37"/>
        <w:spacing w:line="400" w:lineRule="exact"/>
        <w:ind w:firstLine="645"/>
        <w:rPr>
          <w:b/>
          <w:bCs/>
          <w:color w:val="auto"/>
          <w:sz w:val="21"/>
          <w:szCs w:val="21"/>
          <w:highlight w:val="none"/>
        </w:rPr>
      </w:pPr>
      <w:r>
        <w:rPr>
          <w:rFonts w:hint="eastAsia" w:ascii="宋体" w:hAnsi="宋体" w:cs="宋体"/>
          <w:b/>
          <w:bCs/>
          <w:color w:val="auto"/>
          <w:sz w:val="21"/>
          <w:szCs w:val="21"/>
          <w:highlight w:val="none"/>
        </w:rPr>
        <w:t>五、优化政府采购程序推进全流程电子化</w:t>
      </w:r>
      <w:r>
        <w:rPr>
          <w:b/>
          <w:bCs/>
          <w:color w:val="auto"/>
          <w:sz w:val="21"/>
          <w:szCs w:val="21"/>
          <w:highlight w:val="none"/>
        </w:rPr>
        <w:t xml:space="preserve"> </w:t>
      </w:r>
    </w:p>
    <w:p w14:paraId="3DA35F2F">
      <w:pPr>
        <w:pStyle w:val="37"/>
        <w:spacing w:line="400" w:lineRule="exact"/>
        <w:ind w:firstLine="645"/>
        <w:rPr>
          <w:color w:val="auto"/>
          <w:sz w:val="21"/>
          <w:szCs w:val="21"/>
          <w:highlight w:val="none"/>
        </w:rPr>
      </w:pPr>
      <w:r>
        <w:rPr>
          <w:rFonts w:hint="eastAsia" w:ascii="宋体" w:hAnsi="宋体" w:cs="宋体"/>
          <w:color w:val="auto"/>
          <w:sz w:val="21"/>
          <w:szCs w:val="21"/>
          <w:highlight w:val="none"/>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color w:val="auto"/>
          <w:sz w:val="21"/>
          <w:szCs w:val="21"/>
          <w:highlight w:val="none"/>
        </w:rPr>
        <w:t xml:space="preserve"> </w:t>
      </w:r>
    </w:p>
    <w:p w14:paraId="083938CF">
      <w:pPr>
        <w:pStyle w:val="37"/>
        <w:spacing w:line="400" w:lineRule="exact"/>
        <w:ind w:firstLine="645"/>
        <w:rPr>
          <w:b/>
          <w:bCs/>
          <w:color w:val="auto"/>
          <w:sz w:val="21"/>
          <w:szCs w:val="21"/>
          <w:highlight w:val="none"/>
        </w:rPr>
      </w:pPr>
      <w:r>
        <w:rPr>
          <w:rFonts w:hint="eastAsia" w:ascii="宋体" w:hAnsi="宋体" w:cs="宋体"/>
          <w:b/>
          <w:bCs/>
          <w:color w:val="auto"/>
          <w:sz w:val="21"/>
          <w:szCs w:val="21"/>
          <w:highlight w:val="none"/>
        </w:rPr>
        <w:t>六、加强项目执行管理提升政府采购透明度</w:t>
      </w:r>
      <w:r>
        <w:rPr>
          <w:b/>
          <w:bCs/>
          <w:color w:val="auto"/>
          <w:sz w:val="21"/>
          <w:szCs w:val="21"/>
          <w:highlight w:val="none"/>
        </w:rPr>
        <w:t xml:space="preserve"> </w:t>
      </w:r>
    </w:p>
    <w:p w14:paraId="67CB26EC">
      <w:pPr>
        <w:pStyle w:val="37"/>
        <w:spacing w:line="400" w:lineRule="exact"/>
        <w:ind w:firstLine="645"/>
        <w:rPr>
          <w:color w:val="auto"/>
          <w:sz w:val="21"/>
          <w:szCs w:val="21"/>
          <w:highlight w:val="none"/>
        </w:rPr>
      </w:pPr>
      <w:r>
        <w:rPr>
          <w:rFonts w:hint="eastAsia" w:ascii="宋体" w:hAnsi="宋体" w:cs="宋体"/>
          <w:color w:val="auto"/>
          <w:sz w:val="21"/>
          <w:szCs w:val="21"/>
          <w:highlight w:val="none"/>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color w:val="auto"/>
          <w:sz w:val="21"/>
          <w:szCs w:val="21"/>
          <w:highlight w:val="none"/>
        </w:rPr>
        <w:t xml:space="preserve"> </w:t>
      </w:r>
    </w:p>
    <w:p w14:paraId="03DA316E">
      <w:pPr>
        <w:pStyle w:val="37"/>
        <w:spacing w:line="400" w:lineRule="exact"/>
        <w:ind w:firstLine="645"/>
        <w:rPr>
          <w:color w:val="auto"/>
          <w:sz w:val="21"/>
          <w:szCs w:val="21"/>
          <w:highlight w:val="none"/>
        </w:rPr>
      </w:pPr>
      <w:r>
        <w:rPr>
          <w:rFonts w:hint="eastAsia" w:ascii="宋体" w:hAnsi="宋体" w:cs="宋体"/>
          <w:color w:val="auto"/>
          <w:sz w:val="21"/>
          <w:szCs w:val="21"/>
          <w:highlight w:val="none"/>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4C55C227">
      <w:pPr>
        <w:rPr>
          <w:rFonts w:ascii="宋体" w:hAnsi="宋体" w:cs="宋体"/>
          <w:b/>
          <w:bCs/>
          <w:color w:val="auto"/>
          <w:sz w:val="21"/>
          <w:szCs w:val="21"/>
          <w:highlight w:val="none"/>
        </w:rPr>
      </w:pPr>
      <w:r>
        <w:rPr>
          <w:rFonts w:ascii="宋体" w:hAnsi="宋体" w:cs="宋体"/>
          <w:b/>
          <w:bCs/>
          <w:color w:val="auto"/>
          <w:sz w:val="21"/>
          <w:szCs w:val="21"/>
          <w:highlight w:val="none"/>
        </w:rPr>
        <w:br w:type="page"/>
      </w:r>
    </w:p>
    <w:p w14:paraId="638A033E">
      <w:pPr>
        <w:rPr>
          <w:rFonts w:ascii="宋体" w:hAnsi="宋体" w:cs="宋体"/>
          <w:b/>
          <w:bCs/>
          <w:color w:val="auto"/>
          <w:sz w:val="21"/>
          <w:szCs w:val="21"/>
          <w:highlight w:val="none"/>
        </w:rPr>
      </w:pPr>
    </w:p>
    <w:p w14:paraId="68DA174A">
      <w:pPr>
        <w:spacing w:before="120" w:beforeLines="50" w:after="120" w:afterLines="50"/>
        <w:jc w:val="center"/>
        <w:textAlignment w:val="baseline"/>
        <w:rPr>
          <w:rFonts w:ascii="宋体" w:hAnsi="宋体" w:cs="宋体"/>
          <w:b/>
          <w:color w:val="auto"/>
          <w:sz w:val="32"/>
          <w:szCs w:val="32"/>
          <w:highlight w:val="none"/>
        </w:rPr>
      </w:pPr>
      <w:r>
        <w:rPr>
          <w:rFonts w:hint="eastAsia" w:ascii="宋体" w:hAnsi="宋体" w:cs="宋体"/>
          <w:b/>
          <w:color w:val="auto"/>
          <w:sz w:val="32"/>
          <w:szCs w:val="32"/>
          <w:highlight w:val="none"/>
        </w:rPr>
        <w:t>财政部 司法部关于政府采购支持监狱企业发展有关问题的通知</w:t>
      </w:r>
    </w:p>
    <w:p w14:paraId="4FA3EA41">
      <w:pPr>
        <w:keepNext w:val="0"/>
        <w:keepLines w:val="0"/>
        <w:spacing w:before="120" w:beforeLines="50" w:after="120" w:afterLines="50" w:line="288" w:lineRule="auto"/>
        <w:jc w:val="center"/>
        <w:textAlignment w:val="baseline"/>
        <w:outlineLvl w:val="9"/>
        <w:rPr>
          <w:rFonts w:ascii="宋体" w:hAnsi="宋体" w:eastAsia="宋体" w:cs="宋体"/>
          <w:b w:val="0"/>
          <w:bCs/>
          <w:color w:val="auto"/>
          <w:sz w:val="24"/>
          <w:szCs w:val="24"/>
          <w:highlight w:val="none"/>
        </w:rPr>
      </w:pPr>
      <w:bookmarkStart w:id="77" w:name="_Toc21391"/>
      <w:r>
        <w:rPr>
          <w:rFonts w:hint="eastAsia" w:ascii="宋体" w:hAnsi="宋体" w:eastAsia="宋体" w:cs="宋体"/>
          <w:b w:val="0"/>
          <w:bCs/>
          <w:color w:val="auto"/>
          <w:sz w:val="24"/>
          <w:szCs w:val="24"/>
          <w:highlight w:val="none"/>
          <w:shd w:val="clear" w:color="auto" w:fill="FFFFFF"/>
        </w:rPr>
        <w:t>财库〔2014〕68号</w:t>
      </w:r>
      <w:bookmarkEnd w:id="77"/>
    </w:p>
    <w:p w14:paraId="281207BE">
      <w:pPr>
        <w:pStyle w:val="37"/>
        <w:spacing w:line="288" w:lineRule="auto"/>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F9924E5">
      <w:pPr>
        <w:pStyle w:val="37"/>
        <w:spacing w:line="288" w:lineRule="auto"/>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024A8EA">
      <w:pPr>
        <w:pStyle w:val="37"/>
        <w:spacing w:line="288" w:lineRule="auto"/>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372B0A1">
      <w:pPr>
        <w:pStyle w:val="37"/>
        <w:spacing w:line="288" w:lineRule="auto"/>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217F549C">
      <w:pPr>
        <w:pStyle w:val="37"/>
        <w:spacing w:line="288" w:lineRule="auto"/>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0D0D45D">
      <w:pPr>
        <w:pStyle w:val="37"/>
        <w:spacing w:line="288" w:lineRule="auto"/>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17C3642B">
      <w:pPr>
        <w:pStyle w:val="37"/>
        <w:spacing w:line="288" w:lineRule="auto"/>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CC66096">
      <w:pPr>
        <w:pStyle w:val="37"/>
        <w:spacing w:line="288" w:lineRule="auto"/>
        <w:jc w:val="right"/>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中华人民共和国财政部</w:t>
      </w:r>
    </w:p>
    <w:p w14:paraId="35F849E0">
      <w:pPr>
        <w:pStyle w:val="37"/>
        <w:spacing w:line="288" w:lineRule="auto"/>
        <w:jc w:val="right"/>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中华人民共和国司法部</w:t>
      </w:r>
    </w:p>
    <w:p w14:paraId="76FCBE35">
      <w:pPr>
        <w:pStyle w:val="37"/>
        <w:spacing w:line="288" w:lineRule="auto"/>
        <w:jc w:val="right"/>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2014年6月10日</w:t>
      </w:r>
    </w:p>
    <w:p w14:paraId="4710DE6B">
      <w:pPr>
        <w:spacing w:before="120" w:beforeLines="50" w:after="120" w:afterLines="50"/>
        <w:jc w:val="center"/>
        <w:textAlignment w:val="baseline"/>
        <w:rPr>
          <w:rFonts w:ascii="宋体" w:hAnsi="宋体" w:cs="宋体"/>
          <w:b/>
          <w:color w:val="auto"/>
          <w:sz w:val="32"/>
          <w:szCs w:val="32"/>
          <w:highlight w:val="none"/>
        </w:rPr>
      </w:pPr>
      <w:r>
        <w:rPr>
          <w:rFonts w:hint="eastAsia" w:ascii="宋体" w:hAnsi="宋体" w:cs="宋体"/>
          <w:color w:val="auto"/>
          <w:szCs w:val="21"/>
          <w:highlight w:val="none"/>
          <w:shd w:val="clear" w:color="auto" w:fill="FFFFFF"/>
        </w:rPr>
        <w:br w:type="page"/>
      </w:r>
      <w:r>
        <w:rPr>
          <w:rFonts w:hint="eastAsia" w:ascii="宋体" w:hAnsi="宋体" w:cs="宋体"/>
          <w:b/>
          <w:color w:val="auto"/>
          <w:sz w:val="32"/>
          <w:szCs w:val="32"/>
          <w:highlight w:val="none"/>
        </w:rPr>
        <w:t>关于促进残疾人就业政府采购政策的通知</w:t>
      </w:r>
    </w:p>
    <w:p w14:paraId="5DB2456B">
      <w:pPr>
        <w:pStyle w:val="37"/>
        <w:spacing w:before="48" w:beforeLines="20" w:after="48" w:afterLines="20" w:line="288" w:lineRule="auto"/>
        <w:jc w:val="center"/>
        <w:textAlignment w:val="baseline"/>
        <w:rPr>
          <w:rFonts w:ascii="宋体" w:hAnsi="宋体" w:cs="宋体"/>
          <w:bCs/>
          <w:color w:val="auto"/>
          <w:highlight w:val="none"/>
        </w:rPr>
      </w:pPr>
      <w:r>
        <w:rPr>
          <w:rStyle w:val="46"/>
          <w:rFonts w:hint="eastAsia" w:ascii="宋体" w:hAnsi="宋体" w:cs="宋体"/>
          <w:bCs w:val="0"/>
          <w:color w:val="auto"/>
          <w:highlight w:val="none"/>
          <w:shd w:val="clear" w:color="auto" w:fill="FFFFFF"/>
        </w:rPr>
        <w:t>财库〔2017〕141号</w:t>
      </w:r>
    </w:p>
    <w:p w14:paraId="0CA94662">
      <w:pPr>
        <w:pStyle w:val="37"/>
        <w:spacing w:line="288" w:lineRule="auto"/>
        <w:jc w:val="both"/>
        <w:textAlignment w:val="baseline"/>
        <w:rPr>
          <w:rFonts w:ascii="宋体" w:hAnsi="宋体" w:cs="宋体"/>
          <w:color w:val="auto"/>
          <w:sz w:val="21"/>
          <w:szCs w:val="21"/>
          <w:highlight w:val="none"/>
        </w:rPr>
      </w:pPr>
      <w:bookmarkStart w:id="78" w:name="toDeptId"/>
      <w:r>
        <w:rPr>
          <w:rFonts w:hint="eastAsia" w:ascii="宋体" w:hAnsi="宋体" w:cs="宋体"/>
          <w:color w:val="auto"/>
          <w:sz w:val="21"/>
          <w:szCs w:val="21"/>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78"/>
      <w:r>
        <w:rPr>
          <w:rFonts w:hint="eastAsia" w:ascii="宋体" w:hAnsi="宋体" w:cs="宋体"/>
          <w:color w:val="auto"/>
          <w:sz w:val="21"/>
          <w:szCs w:val="21"/>
          <w:highlight w:val="none"/>
          <w:shd w:val="clear" w:color="auto" w:fill="FFFFFF"/>
        </w:rPr>
        <w:t>：</w:t>
      </w:r>
    </w:p>
    <w:p w14:paraId="73F2AA95">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14:paraId="63D1010B">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一、享受政府采购支持政策的残疾人福利性单位应当同时满足以下条件：</w:t>
      </w:r>
    </w:p>
    <w:p w14:paraId="14400401">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（一）安置的残疾人占本单位在职职工人数的比例不低于25%（含25%），并且安置的残疾人人数不少于10人（含10人）；</w:t>
      </w:r>
    </w:p>
    <w:p w14:paraId="3BBDA9C1">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（二）依法与安置的每位残疾人签订了一年以上（含一年）的劳动合同或服务协议；</w:t>
      </w:r>
    </w:p>
    <w:p w14:paraId="6C8CF5B0">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（三）为安置的每位残疾人按月足额缴纳了基本养老保险、基本医疗保险、失业保险、工伤保险和生育保险等社会保险费；</w:t>
      </w:r>
    </w:p>
    <w:p w14:paraId="6CCFBEDE">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（四）通过银行等金融机构向安置的每位残疾人，按月支付了不低于单位所在区县适用的经省级人民政府批准的月最低工资标准的工资；</w:t>
      </w:r>
    </w:p>
    <w:p w14:paraId="734CA875">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（五）提供本单位制造的货物、承担的工程或者服务（以下简称产品），或者提供其他残疾人福利性单位制造的货物（不包括使用非残疾人福利性单位注册商标的货物）。</w:t>
      </w:r>
    </w:p>
    <w:p w14:paraId="6BC6C9FE">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85A3EE">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DB65351">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中标、成交供应商为残疾人福利性单位的，采购人或者其委托的采购代理机构应当随中标、成交结果同时公告其《残疾人福利性单位声明函》，接受社会监督。</w:t>
      </w:r>
    </w:p>
    <w:p w14:paraId="0F52F236">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供应商提供的《残疾人福利性单位声明函》与事实不符的，依照《政府采购法》第七十七条第一款的规定追究法律责任。</w:t>
      </w:r>
    </w:p>
    <w:p w14:paraId="36E7472B">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8C63327">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四、采购人采购公开招标数额标准以上的货物或者服务，因落实促进残疾人就业政策的需要，依法履行有关报批程序后，可采用公开招标以外的采购方式。</w:t>
      </w:r>
    </w:p>
    <w:p w14:paraId="3DC3484B">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6E8879F">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D35A5C7">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七、本通知自2017年10月1日起执行。</w:t>
      </w:r>
    </w:p>
    <w:p w14:paraId="3B70BF54">
      <w:pPr>
        <w:pStyle w:val="37"/>
        <w:spacing w:line="288" w:lineRule="auto"/>
        <w:jc w:val="right"/>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财政部 民政部 中国残疾人联合会</w:t>
      </w:r>
    </w:p>
    <w:p w14:paraId="5C3AF296">
      <w:pPr>
        <w:pStyle w:val="37"/>
        <w:spacing w:line="288" w:lineRule="auto"/>
        <w:jc w:val="right"/>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2017年8月22日</w:t>
      </w:r>
    </w:p>
    <w:p w14:paraId="248D7181">
      <w:pPr>
        <w:pStyle w:val="37"/>
        <w:spacing w:line="340" w:lineRule="exact"/>
        <w:jc w:val="center"/>
        <w:textAlignment w:val="baseline"/>
        <w:rPr>
          <w:rFonts w:ascii="宋体" w:hAnsi="宋体" w:cs="宋体"/>
          <w:b/>
          <w:color w:val="auto"/>
          <w:sz w:val="32"/>
          <w:szCs w:val="32"/>
          <w:highlight w:val="none"/>
        </w:rPr>
      </w:pPr>
      <w:r>
        <w:rPr>
          <w:rFonts w:hint="eastAsia" w:ascii="宋体" w:hAnsi="宋体" w:cs="宋体"/>
          <w:color w:val="auto"/>
          <w:sz w:val="21"/>
          <w:szCs w:val="21"/>
          <w:highlight w:val="none"/>
          <w:shd w:val="clear" w:color="auto" w:fill="FFFFFF"/>
        </w:rPr>
        <w:br w:type="page"/>
      </w:r>
      <w:r>
        <w:rPr>
          <w:rFonts w:hint="eastAsia" w:ascii="宋体" w:hAnsi="宋体" w:cs="宋体"/>
          <w:b/>
          <w:color w:val="auto"/>
          <w:sz w:val="32"/>
          <w:szCs w:val="32"/>
          <w:highlight w:val="none"/>
        </w:rPr>
        <w:t>《统计上大中小微型企业划分办法（2017）》修订说明</w:t>
      </w:r>
    </w:p>
    <w:p w14:paraId="3E03192B">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一、修订背景</w:t>
      </w:r>
    </w:p>
    <w:p w14:paraId="5B2315FB">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A89A4B5">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38E040">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二、修订主要内容</w:t>
      </w:r>
    </w:p>
    <w:p w14:paraId="6EF6585A">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73C8EA1">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将交通运输业中包括的“装卸搬运和运输代理业”修改为“多式联运和运输代理业、装卸搬运”。</w:t>
      </w:r>
    </w:p>
    <w:p w14:paraId="1EA747A1">
      <w:pPr>
        <w:spacing w:line="288" w:lineRule="auto"/>
        <w:ind w:firstLine="452" w:firstLineChars="200"/>
        <w:rPr>
          <w:rFonts w:ascii="宋体" w:hAnsi="宋体" w:cs="宋体"/>
          <w:color w:val="auto"/>
          <w:spacing w:val="8"/>
          <w:sz w:val="21"/>
          <w:szCs w:val="21"/>
          <w:highlight w:val="none"/>
        </w:rPr>
      </w:pPr>
      <w:r>
        <w:rPr>
          <w:rFonts w:hint="eastAsia" w:ascii="宋体" w:hAnsi="宋体" w:cs="宋体"/>
          <w:color w:val="auto"/>
          <w:spacing w:val="8"/>
          <w:sz w:val="21"/>
          <w:szCs w:val="21"/>
          <w:highlight w:val="none"/>
        </w:rPr>
        <w:t>仓储业所包括的行业中类，根据《国民经济行业分类》</w:t>
      </w:r>
      <w:r>
        <w:rPr>
          <w:rFonts w:hint="eastAsia" w:ascii="宋体" w:hAnsi="宋体" w:cs="宋体"/>
          <w:color w:val="auto"/>
          <w:sz w:val="21"/>
          <w:szCs w:val="21"/>
          <w:highlight w:val="none"/>
        </w:rPr>
        <w:t>（GB/T 4754—2017）</w:t>
      </w:r>
      <w:r>
        <w:rPr>
          <w:rFonts w:hint="eastAsia" w:ascii="宋体" w:hAnsi="宋体" w:cs="宋体"/>
          <w:color w:val="auto"/>
          <w:spacing w:val="8"/>
          <w:sz w:val="21"/>
          <w:szCs w:val="21"/>
          <w:highlight w:val="none"/>
        </w:rPr>
        <w:t>调整为“通用仓储，低温仓储，危险品仓储，谷物、棉花等农产品仓储，中药材仓储和其他仓储业”。</w:t>
      </w:r>
    </w:p>
    <w:p w14:paraId="4C23A806">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附表</w:t>
      </w:r>
    </w:p>
    <w:p w14:paraId="58440F72">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统计上大中小微型企业划分标准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568"/>
        <w:gridCol w:w="709"/>
        <w:gridCol w:w="1125"/>
        <w:gridCol w:w="1701"/>
        <w:gridCol w:w="1426"/>
        <w:gridCol w:w="992"/>
      </w:tblGrid>
      <w:tr w14:paraId="77F3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914" w:type="dxa"/>
            <w:vAlign w:val="center"/>
          </w:tcPr>
          <w:p w14:paraId="5E2B6BD9">
            <w:pPr>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行业名称</w:t>
            </w:r>
          </w:p>
        </w:tc>
        <w:tc>
          <w:tcPr>
            <w:tcW w:w="1568" w:type="dxa"/>
            <w:vAlign w:val="center"/>
          </w:tcPr>
          <w:p w14:paraId="6326657F">
            <w:pPr>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指标名称</w:t>
            </w:r>
          </w:p>
        </w:tc>
        <w:tc>
          <w:tcPr>
            <w:tcW w:w="709" w:type="dxa"/>
            <w:vAlign w:val="center"/>
          </w:tcPr>
          <w:p w14:paraId="1C145815">
            <w:pPr>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计量</w:t>
            </w:r>
          </w:p>
          <w:p w14:paraId="6172436B">
            <w:pPr>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单位</w:t>
            </w:r>
          </w:p>
        </w:tc>
        <w:tc>
          <w:tcPr>
            <w:tcW w:w="1125" w:type="dxa"/>
            <w:vAlign w:val="center"/>
          </w:tcPr>
          <w:p w14:paraId="45F803FD">
            <w:pPr>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大型</w:t>
            </w:r>
          </w:p>
        </w:tc>
        <w:tc>
          <w:tcPr>
            <w:tcW w:w="1701" w:type="dxa"/>
            <w:vAlign w:val="center"/>
          </w:tcPr>
          <w:p w14:paraId="203721EA">
            <w:pPr>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中型</w:t>
            </w:r>
          </w:p>
        </w:tc>
        <w:tc>
          <w:tcPr>
            <w:tcW w:w="1426" w:type="dxa"/>
            <w:vAlign w:val="center"/>
          </w:tcPr>
          <w:p w14:paraId="3A90D1F2">
            <w:pPr>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小型</w:t>
            </w:r>
          </w:p>
        </w:tc>
        <w:tc>
          <w:tcPr>
            <w:tcW w:w="992" w:type="dxa"/>
            <w:vAlign w:val="center"/>
          </w:tcPr>
          <w:p w14:paraId="3DFC7E9D">
            <w:pPr>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微型</w:t>
            </w:r>
          </w:p>
        </w:tc>
      </w:tr>
      <w:tr w14:paraId="7339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Align w:val="center"/>
          </w:tcPr>
          <w:p w14:paraId="50EBACD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农、林、牧、渔业</w:t>
            </w:r>
          </w:p>
        </w:tc>
        <w:tc>
          <w:tcPr>
            <w:tcW w:w="1568" w:type="dxa"/>
            <w:vAlign w:val="center"/>
          </w:tcPr>
          <w:p w14:paraId="227FB9C4">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186394C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165AAD0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Y≥20000</w:t>
            </w:r>
          </w:p>
        </w:tc>
        <w:tc>
          <w:tcPr>
            <w:tcW w:w="1701" w:type="dxa"/>
            <w:vAlign w:val="center"/>
          </w:tcPr>
          <w:p w14:paraId="35110E5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500≤Y＜20000</w:t>
            </w:r>
          </w:p>
        </w:tc>
        <w:tc>
          <w:tcPr>
            <w:tcW w:w="1426" w:type="dxa"/>
            <w:vAlign w:val="center"/>
          </w:tcPr>
          <w:p w14:paraId="0365839B">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50≤Y＜500</w:t>
            </w:r>
          </w:p>
        </w:tc>
        <w:tc>
          <w:tcPr>
            <w:tcW w:w="992" w:type="dxa"/>
            <w:vAlign w:val="center"/>
          </w:tcPr>
          <w:p w14:paraId="05F123CE">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Y＜50</w:t>
            </w:r>
          </w:p>
        </w:tc>
      </w:tr>
      <w:tr w14:paraId="7CC9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49766772">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工业 *</w:t>
            </w:r>
          </w:p>
        </w:tc>
        <w:tc>
          <w:tcPr>
            <w:tcW w:w="1568" w:type="dxa"/>
            <w:vAlign w:val="center"/>
          </w:tcPr>
          <w:p w14:paraId="64FE7E6B">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0092AF7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27D66205">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X≥1000</w:t>
            </w:r>
          </w:p>
        </w:tc>
        <w:tc>
          <w:tcPr>
            <w:tcW w:w="1701" w:type="dxa"/>
            <w:vAlign w:val="center"/>
          </w:tcPr>
          <w:p w14:paraId="0E37D6F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300≤X＜1000</w:t>
            </w:r>
          </w:p>
        </w:tc>
        <w:tc>
          <w:tcPr>
            <w:tcW w:w="1426" w:type="dxa"/>
            <w:vAlign w:val="center"/>
          </w:tcPr>
          <w:p w14:paraId="445D448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20≤X＜300</w:t>
            </w:r>
          </w:p>
        </w:tc>
        <w:tc>
          <w:tcPr>
            <w:tcW w:w="992" w:type="dxa"/>
            <w:vAlign w:val="center"/>
          </w:tcPr>
          <w:p w14:paraId="79BEE9FF">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X＜20</w:t>
            </w:r>
          </w:p>
        </w:tc>
      </w:tr>
      <w:tr w14:paraId="53D7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1F9EC42F">
            <w:pPr>
              <w:spacing w:line="288" w:lineRule="auto"/>
              <w:rPr>
                <w:rFonts w:ascii="宋体" w:hAnsi="宋体" w:cs="宋体"/>
                <w:b/>
                <w:color w:val="auto"/>
                <w:sz w:val="21"/>
                <w:szCs w:val="21"/>
                <w:highlight w:val="none"/>
              </w:rPr>
            </w:pPr>
          </w:p>
        </w:tc>
        <w:tc>
          <w:tcPr>
            <w:tcW w:w="1568" w:type="dxa"/>
            <w:vAlign w:val="center"/>
          </w:tcPr>
          <w:p w14:paraId="0FA10E2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5ACDBEE5">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2C425BD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Y≥40000</w:t>
            </w:r>
          </w:p>
        </w:tc>
        <w:tc>
          <w:tcPr>
            <w:tcW w:w="1701" w:type="dxa"/>
            <w:vAlign w:val="center"/>
          </w:tcPr>
          <w:p w14:paraId="5E3011A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2000≤Y＜40000</w:t>
            </w:r>
          </w:p>
        </w:tc>
        <w:tc>
          <w:tcPr>
            <w:tcW w:w="1426" w:type="dxa"/>
            <w:vAlign w:val="center"/>
          </w:tcPr>
          <w:p w14:paraId="1AE599E6">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300≤Y＜2000</w:t>
            </w:r>
          </w:p>
        </w:tc>
        <w:tc>
          <w:tcPr>
            <w:tcW w:w="992" w:type="dxa"/>
            <w:vAlign w:val="center"/>
          </w:tcPr>
          <w:p w14:paraId="0A1DAD8D">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Y＜300</w:t>
            </w:r>
          </w:p>
        </w:tc>
      </w:tr>
      <w:tr w14:paraId="1D58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5A1F40F9">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建筑业</w:t>
            </w:r>
          </w:p>
        </w:tc>
        <w:tc>
          <w:tcPr>
            <w:tcW w:w="1568" w:type="dxa"/>
            <w:vAlign w:val="center"/>
          </w:tcPr>
          <w:p w14:paraId="45A3AB7E">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12455DB4">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11F828F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Y≥80000</w:t>
            </w:r>
          </w:p>
        </w:tc>
        <w:tc>
          <w:tcPr>
            <w:tcW w:w="1701" w:type="dxa"/>
            <w:vAlign w:val="center"/>
          </w:tcPr>
          <w:p w14:paraId="772100A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6000≤Y＜80000</w:t>
            </w:r>
          </w:p>
        </w:tc>
        <w:tc>
          <w:tcPr>
            <w:tcW w:w="1426" w:type="dxa"/>
            <w:vAlign w:val="center"/>
          </w:tcPr>
          <w:p w14:paraId="00497C7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300≤Y＜6000</w:t>
            </w:r>
          </w:p>
        </w:tc>
        <w:tc>
          <w:tcPr>
            <w:tcW w:w="992" w:type="dxa"/>
            <w:vAlign w:val="center"/>
          </w:tcPr>
          <w:p w14:paraId="528328A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Y＜300</w:t>
            </w:r>
          </w:p>
        </w:tc>
      </w:tr>
      <w:tr w14:paraId="741F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52392CF5">
            <w:pPr>
              <w:spacing w:line="288" w:lineRule="auto"/>
              <w:rPr>
                <w:rFonts w:ascii="宋体" w:hAnsi="宋体" w:cs="宋体"/>
                <w:b/>
                <w:color w:val="auto"/>
                <w:sz w:val="21"/>
                <w:szCs w:val="21"/>
                <w:highlight w:val="none"/>
              </w:rPr>
            </w:pPr>
          </w:p>
        </w:tc>
        <w:tc>
          <w:tcPr>
            <w:tcW w:w="1568" w:type="dxa"/>
            <w:vAlign w:val="center"/>
          </w:tcPr>
          <w:p w14:paraId="2515AF6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资产总额(Z)</w:t>
            </w:r>
          </w:p>
        </w:tc>
        <w:tc>
          <w:tcPr>
            <w:tcW w:w="709" w:type="dxa"/>
            <w:vAlign w:val="center"/>
          </w:tcPr>
          <w:p w14:paraId="11FD7BED">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14A5CCE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Z≥80000</w:t>
            </w:r>
          </w:p>
        </w:tc>
        <w:tc>
          <w:tcPr>
            <w:tcW w:w="1701" w:type="dxa"/>
            <w:vAlign w:val="center"/>
          </w:tcPr>
          <w:p w14:paraId="2CCFBA6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5000≤Z＜80000</w:t>
            </w:r>
          </w:p>
        </w:tc>
        <w:tc>
          <w:tcPr>
            <w:tcW w:w="1426" w:type="dxa"/>
            <w:vAlign w:val="center"/>
          </w:tcPr>
          <w:p w14:paraId="54BA5166">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300≤Z＜5000</w:t>
            </w:r>
          </w:p>
        </w:tc>
        <w:tc>
          <w:tcPr>
            <w:tcW w:w="992" w:type="dxa"/>
            <w:vAlign w:val="center"/>
          </w:tcPr>
          <w:p w14:paraId="03ADEDD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Z＜300</w:t>
            </w:r>
          </w:p>
        </w:tc>
      </w:tr>
      <w:tr w14:paraId="0B12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0C07652F">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批发业</w:t>
            </w:r>
          </w:p>
        </w:tc>
        <w:tc>
          <w:tcPr>
            <w:tcW w:w="1568" w:type="dxa"/>
            <w:vAlign w:val="center"/>
          </w:tcPr>
          <w:p w14:paraId="729C65A6">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406739E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30306772">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X≥200</w:t>
            </w:r>
          </w:p>
        </w:tc>
        <w:tc>
          <w:tcPr>
            <w:tcW w:w="1701" w:type="dxa"/>
            <w:vAlign w:val="center"/>
          </w:tcPr>
          <w:p w14:paraId="7DB6F3B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20≤X＜200</w:t>
            </w:r>
          </w:p>
        </w:tc>
        <w:tc>
          <w:tcPr>
            <w:tcW w:w="1426" w:type="dxa"/>
            <w:vAlign w:val="center"/>
          </w:tcPr>
          <w:p w14:paraId="61949F4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5≤X＜20</w:t>
            </w:r>
          </w:p>
        </w:tc>
        <w:tc>
          <w:tcPr>
            <w:tcW w:w="992" w:type="dxa"/>
            <w:vAlign w:val="center"/>
          </w:tcPr>
          <w:p w14:paraId="2593DD9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X＜5</w:t>
            </w:r>
          </w:p>
        </w:tc>
      </w:tr>
      <w:tr w14:paraId="28DE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56A2B3FC">
            <w:pPr>
              <w:spacing w:line="288" w:lineRule="auto"/>
              <w:rPr>
                <w:rFonts w:ascii="宋体" w:hAnsi="宋体" w:cs="宋体"/>
                <w:b/>
                <w:color w:val="auto"/>
                <w:sz w:val="21"/>
                <w:szCs w:val="21"/>
                <w:highlight w:val="none"/>
              </w:rPr>
            </w:pPr>
          </w:p>
        </w:tc>
        <w:tc>
          <w:tcPr>
            <w:tcW w:w="1568" w:type="dxa"/>
            <w:vAlign w:val="center"/>
          </w:tcPr>
          <w:p w14:paraId="78D7087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4E92D90F">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24F4B2E4">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Y≥40000</w:t>
            </w:r>
          </w:p>
        </w:tc>
        <w:tc>
          <w:tcPr>
            <w:tcW w:w="1701" w:type="dxa"/>
            <w:vAlign w:val="center"/>
          </w:tcPr>
          <w:p w14:paraId="117CD94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5000≤Y＜40000</w:t>
            </w:r>
          </w:p>
        </w:tc>
        <w:tc>
          <w:tcPr>
            <w:tcW w:w="1426" w:type="dxa"/>
            <w:vAlign w:val="center"/>
          </w:tcPr>
          <w:p w14:paraId="0C11E256">
            <w:pPr>
              <w:spacing w:line="288" w:lineRule="auto"/>
              <w:ind w:left="-1" w:leftChars="-1" w:hanging="1"/>
              <w:rPr>
                <w:rFonts w:ascii="宋体" w:hAnsi="宋体" w:cs="宋体"/>
                <w:b/>
                <w:color w:val="auto"/>
                <w:sz w:val="21"/>
                <w:szCs w:val="21"/>
                <w:highlight w:val="none"/>
              </w:rPr>
            </w:pPr>
            <w:r>
              <w:rPr>
                <w:rFonts w:hint="eastAsia" w:ascii="宋体" w:hAnsi="宋体" w:cs="宋体"/>
                <w:b/>
                <w:color w:val="auto"/>
                <w:sz w:val="21"/>
                <w:szCs w:val="21"/>
                <w:highlight w:val="none"/>
              </w:rPr>
              <w:t>1000≤Y＜5000</w:t>
            </w:r>
          </w:p>
        </w:tc>
        <w:tc>
          <w:tcPr>
            <w:tcW w:w="992" w:type="dxa"/>
            <w:vAlign w:val="center"/>
          </w:tcPr>
          <w:p w14:paraId="6206C83E">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Y＜1000</w:t>
            </w:r>
          </w:p>
        </w:tc>
      </w:tr>
      <w:tr w14:paraId="68B7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1F51C14F">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零售业</w:t>
            </w:r>
          </w:p>
        </w:tc>
        <w:tc>
          <w:tcPr>
            <w:tcW w:w="1568" w:type="dxa"/>
            <w:vAlign w:val="center"/>
          </w:tcPr>
          <w:p w14:paraId="2AC1C9A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0E29DF0E">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74BC3AF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X≥300</w:t>
            </w:r>
          </w:p>
        </w:tc>
        <w:tc>
          <w:tcPr>
            <w:tcW w:w="1701" w:type="dxa"/>
            <w:vAlign w:val="center"/>
          </w:tcPr>
          <w:p w14:paraId="7B12156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50≤X＜300</w:t>
            </w:r>
          </w:p>
        </w:tc>
        <w:tc>
          <w:tcPr>
            <w:tcW w:w="1426" w:type="dxa"/>
            <w:vAlign w:val="center"/>
          </w:tcPr>
          <w:p w14:paraId="2DECF882">
            <w:pPr>
              <w:spacing w:line="288" w:lineRule="auto"/>
              <w:ind w:left="-1" w:leftChars="-1" w:hanging="1"/>
              <w:rPr>
                <w:rFonts w:ascii="宋体" w:hAnsi="宋体" w:cs="宋体"/>
                <w:b/>
                <w:color w:val="auto"/>
                <w:sz w:val="21"/>
                <w:szCs w:val="21"/>
                <w:highlight w:val="none"/>
              </w:rPr>
            </w:pPr>
            <w:r>
              <w:rPr>
                <w:rFonts w:hint="eastAsia" w:ascii="宋体" w:hAnsi="宋体" w:cs="宋体"/>
                <w:b/>
                <w:color w:val="auto"/>
                <w:sz w:val="21"/>
                <w:szCs w:val="21"/>
                <w:highlight w:val="none"/>
              </w:rPr>
              <w:t xml:space="preserve">10≤X＜50 </w:t>
            </w:r>
          </w:p>
        </w:tc>
        <w:tc>
          <w:tcPr>
            <w:tcW w:w="992" w:type="dxa"/>
            <w:vAlign w:val="center"/>
          </w:tcPr>
          <w:p w14:paraId="3FAC2384">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w:t>
            </w:r>
          </w:p>
        </w:tc>
      </w:tr>
      <w:tr w14:paraId="5300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404CE606">
            <w:pPr>
              <w:spacing w:line="288" w:lineRule="auto"/>
              <w:rPr>
                <w:rFonts w:ascii="宋体" w:hAnsi="宋体" w:cs="宋体"/>
                <w:b/>
                <w:color w:val="auto"/>
                <w:sz w:val="21"/>
                <w:szCs w:val="21"/>
                <w:highlight w:val="none"/>
              </w:rPr>
            </w:pPr>
          </w:p>
        </w:tc>
        <w:tc>
          <w:tcPr>
            <w:tcW w:w="1568" w:type="dxa"/>
            <w:vAlign w:val="center"/>
          </w:tcPr>
          <w:p w14:paraId="34A5F67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2C8A34A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11414C8D">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Y≥20000</w:t>
            </w:r>
          </w:p>
        </w:tc>
        <w:tc>
          <w:tcPr>
            <w:tcW w:w="1701" w:type="dxa"/>
            <w:vAlign w:val="center"/>
          </w:tcPr>
          <w:p w14:paraId="6620FBE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500≤Y＜20000</w:t>
            </w:r>
          </w:p>
        </w:tc>
        <w:tc>
          <w:tcPr>
            <w:tcW w:w="1426" w:type="dxa"/>
            <w:vAlign w:val="center"/>
          </w:tcPr>
          <w:p w14:paraId="1ED51510">
            <w:pPr>
              <w:spacing w:line="288" w:lineRule="auto"/>
              <w:ind w:left="-1" w:leftChars="-1" w:hanging="1"/>
              <w:rPr>
                <w:rFonts w:ascii="宋体" w:hAnsi="宋体" w:cs="宋体"/>
                <w:b/>
                <w:color w:val="auto"/>
                <w:sz w:val="21"/>
                <w:szCs w:val="21"/>
                <w:highlight w:val="none"/>
              </w:rPr>
            </w:pPr>
            <w:r>
              <w:rPr>
                <w:rFonts w:hint="eastAsia" w:ascii="宋体" w:hAnsi="宋体" w:cs="宋体"/>
                <w:b/>
                <w:color w:val="auto"/>
                <w:sz w:val="21"/>
                <w:szCs w:val="21"/>
                <w:highlight w:val="none"/>
              </w:rPr>
              <w:t xml:space="preserve">100≤Y＜500 </w:t>
            </w:r>
          </w:p>
        </w:tc>
        <w:tc>
          <w:tcPr>
            <w:tcW w:w="992" w:type="dxa"/>
            <w:vAlign w:val="center"/>
          </w:tcPr>
          <w:p w14:paraId="794C2DDB">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w:t>
            </w:r>
          </w:p>
        </w:tc>
      </w:tr>
      <w:tr w14:paraId="7FF4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16E625C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交通运输业 *</w:t>
            </w:r>
          </w:p>
        </w:tc>
        <w:tc>
          <w:tcPr>
            <w:tcW w:w="1568" w:type="dxa"/>
            <w:vAlign w:val="center"/>
          </w:tcPr>
          <w:p w14:paraId="083D256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07910604">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4BD5CB0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X≥1000</w:t>
            </w:r>
          </w:p>
        </w:tc>
        <w:tc>
          <w:tcPr>
            <w:tcW w:w="1701" w:type="dxa"/>
            <w:vAlign w:val="center"/>
          </w:tcPr>
          <w:p w14:paraId="683B802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300≤X＜1000</w:t>
            </w:r>
          </w:p>
        </w:tc>
        <w:tc>
          <w:tcPr>
            <w:tcW w:w="1426" w:type="dxa"/>
            <w:vAlign w:val="center"/>
          </w:tcPr>
          <w:p w14:paraId="1632A21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20≤X＜300</w:t>
            </w:r>
          </w:p>
        </w:tc>
        <w:tc>
          <w:tcPr>
            <w:tcW w:w="992" w:type="dxa"/>
            <w:vAlign w:val="center"/>
          </w:tcPr>
          <w:p w14:paraId="760B87E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X＜20</w:t>
            </w:r>
          </w:p>
        </w:tc>
      </w:tr>
      <w:tr w14:paraId="08F1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6B148226">
            <w:pPr>
              <w:spacing w:line="288" w:lineRule="auto"/>
              <w:rPr>
                <w:rFonts w:ascii="宋体" w:hAnsi="宋体" w:cs="宋体"/>
                <w:b/>
                <w:color w:val="auto"/>
                <w:sz w:val="21"/>
                <w:szCs w:val="21"/>
                <w:highlight w:val="none"/>
              </w:rPr>
            </w:pPr>
          </w:p>
        </w:tc>
        <w:tc>
          <w:tcPr>
            <w:tcW w:w="1568" w:type="dxa"/>
            <w:vAlign w:val="center"/>
          </w:tcPr>
          <w:p w14:paraId="544EB7AF">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266E7AFD">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43B1A00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Y≥30000</w:t>
            </w:r>
          </w:p>
        </w:tc>
        <w:tc>
          <w:tcPr>
            <w:tcW w:w="1701" w:type="dxa"/>
            <w:vAlign w:val="center"/>
          </w:tcPr>
          <w:p w14:paraId="15A8CD3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3000≤Y＜30000</w:t>
            </w:r>
          </w:p>
        </w:tc>
        <w:tc>
          <w:tcPr>
            <w:tcW w:w="1426" w:type="dxa"/>
            <w:vAlign w:val="center"/>
          </w:tcPr>
          <w:p w14:paraId="07C880A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200≤Y＜3000</w:t>
            </w:r>
          </w:p>
        </w:tc>
        <w:tc>
          <w:tcPr>
            <w:tcW w:w="992" w:type="dxa"/>
            <w:vAlign w:val="center"/>
          </w:tcPr>
          <w:p w14:paraId="4DCD26AE">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Y＜200</w:t>
            </w:r>
          </w:p>
        </w:tc>
      </w:tr>
      <w:tr w14:paraId="190C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16792FC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仓储业*</w:t>
            </w:r>
          </w:p>
        </w:tc>
        <w:tc>
          <w:tcPr>
            <w:tcW w:w="1568" w:type="dxa"/>
            <w:vAlign w:val="center"/>
          </w:tcPr>
          <w:p w14:paraId="711D1814">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661C0FEE">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20153B9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X≥200</w:t>
            </w:r>
          </w:p>
        </w:tc>
        <w:tc>
          <w:tcPr>
            <w:tcW w:w="1701" w:type="dxa"/>
            <w:vAlign w:val="center"/>
          </w:tcPr>
          <w:p w14:paraId="21D43408">
            <w:pPr>
              <w:spacing w:line="288" w:lineRule="auto"/>
              <w:ind w:left="24" w:leftChars="-51" w:hanging="126" w:hangingChars="60"/>
              <w:rPr>
                <w:rFonts w:ascii="宋体" w:hAnsi="宋体" w:cs="宋体"/>
                <w:b/>
                <w:color w:val="auto"/>
                <w:sz w:val="21"/>
                <w:szCs w:val="21"/>
                <w:highlight w:val="none"/>
              </w:rPr>
            </w:pPr>
            <w:r>
              <w:rPr>
                <w:rFonts w:hint="eastAsia" w:ascii="宋体" w:hAnsi="宋体" w:cs="宋体"/>
                <w:b/>
                <w:color w:val="auto"/>
                <w:sz w:val="21"/>
                <w:szCs w:val="21"/>
                <w:highlight w:val="none"/>
              </w:rPr>
              <w:t>100≤X＜200</w:t>
            </w:r>
          </w:p>
        </w:tc>
        <w:tc>
          <w:tcPr>
            <w:tcW w:w="1426" w:type="dxa"/>
            <w:vAlign w:val="center"/>
          </w:tcPr>
          <w:p w14:paraId="3798247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20≤X＜100</w:t>
            </w:r>
          </w:p>
        </w:tc>
        <w:tc>
          <w:tcPr>
            <w:tcW w:w="992" w:type="dxa"/>
            <w:vAlign w:val="center"/>
          </w:tcPr>
          <w:p w14:paraId="448FA34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X＜20</w:t>
            </w:r>
          </w:p>
        </w:tc>
      </w:tr>
      <w:tr w14:paraId="4F1A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4CD33976">
            <w:pPr>
              <w:spacing w:line="288" w:lineRule="auto"/>
              <w:rPr>
                <w:rFonts w:ascii="宋体" w:hAnsi="宋体" w:cs="宋体"/>
                <w:b/>
                <w:color w:val="auto"/>
                <w:sz w:val="21"/>
                <w:szCs w:val="21"/>
                <w:highlight w:val="none"/>
              </w:rPr>
            </w:pPr>
          </w:p>
        </w:tc>
        <w:tc>
          <w:tcPr>
            <w:tcW w:w="1568" w:type="dxa"/>
            <w:vAlign w:val="center"/>
          </w:tcPr>
          <w:p w14:paraId="647E5A4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0936628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6106A08D">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Y≥30000</w:t>
            </w:r>
          </w:p>
        </w:tc>
        <w:tc>
          <w:tcPr>
            <w:tcW w:w="1701" w:type="dxa"/>
            <w:vAlign w:val="center"/>
          </w:tcPr>
          <w:p w14:paraId="03F8782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1000≤Y＜30000</w:t>
            </w:r>
          </w:p>
        </w:tc>
        <w:tc>
          <w:tcPr>
            <w:tcW w:w="1426" w:type="dxa"/>
            <w:vAlign w:val="center"/>
          </w:tcPr>
          <w:p w14:paraId="64D5BC5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100≤Y＜1000</w:t>
            </w:r>
          </w:p>
        </w:tc>
        <w:tc>
          <w:tcPr>
            <w:tcW w:w="992" w:type="dxa"/>
            <w:vAlign w:val="center"/>
          </w:tcPr>
          <w:p w14:paraId="770613A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w:t>
            </w:r>
          </w:p>
        </w:tc>
      </w:tr>
      <w:tr w14:paraId="69C3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0D58EFE9">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邮政业</w:t>
            </w:r>
          </w:p>
        </w:tc>
        <w:tc>
          <w:tcPr>
            <w:tcW w:w="1568" w:type="dxa"/>
            <w:vAlign w:val="center"/>
          </w:tcPr>
          <w:p w14:paraId="50621C4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0D91B13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2BCB828D">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X≥1000</w:t>
            </w:r>
          </w:p>
        </w:tc>
        <w:tc>
          <w:tcPr>
            <w:tcW w:w="1701" w:type="dxa"/>
            <w:vAlign w:val="center"/>
          </w:tcPr>
          <w:p w14:paraId="1293BD75">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300≤X＜1000</w:t>
            </w:r>
          </w:p>
        </w:tc>
        <w:tc>
          <w:tcPr>
            <w:tcW w:w="1426" w:type="dxa"/>
            <w:vAlign w:val="center"/>
          </w:tcPr>
          <w:p w14:paraId="338460B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20≤X＜300</w:t>
            </w:r>
          </w:p>
        </w:tc>
        <w:tc>
          <w:tcPr>
            <w:tcW w:w="992" w:type="dxa"/>
            <w:vAlign w:val="center"/>
          </w:tcPr>
          <w:p w14:paraId="2E4106C6">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X＜20</w:t>
            </w:r>
          </w:p>
        </w:tc>
      </w:tr>
      <w:tr w14:paraId="4F71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1EC4E965">
            <w:pPr>
              <w:spacing w:line="288" w:lineRule="auto"/>
              <w:rPr>
                <w:rFonts w:ascii="宋体" w:hAnsi="宋体" w:cs="宋体"/>
                <w:b/>
                <w:color w:val="auto"/>
                <w:sz w:val="21"/>
                <w:szCs w:val="21"/>
                <w:highlight w:val="none"/>
              </w:rPr>
            </w:pPr>
          </w:p>
        </w:tc>
        <w:tc>
          <w:tcPr>
            <w:tcW w:w="1568" w:type="dxa"/>
            <w:vAlign w:val="center"/>
          </w:tcPr>
          <w:p w14:paraId="122B3014">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4025AD2B">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37D19AC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Y≥30000</w:t>
            </w:r>
          </w:p>
        </w:tc>
        <w:tc>
          <w:tcPr>
            <w:tcW w:w="1701" w:type="dxa"/>
            <w:vAlign w:val="center"/>
          </w:tcPr>
          <w:p w14:paraId="0F346702">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2000≤Y＜30000</w:t>
            </w:r>
          </w:p>
        </w:tc>
        <w:tc>
          <w:tcPr>
            <w:tcW w:w="1426" w:type="dxa"/>
            <w:vAlign w:val="center"/>
          </w:tcPr>
          <w:p w14:paraId="41E8B3EE">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100≤Y＜2000</w:t>
            </w:r>
          </w:p>
        </w:tc>
        <w:tc>
          <w:tcPr>
            <w:tcW w:w="992" w:type="dxa"/>
            <w:vAlign w:val="center"/>
          </w:tcPr>
          <w:p w14:paraId="107E512D">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w:t>
            </w:r>
          </w:p>
        </w:tc>
      </w:tr>
      <w:tr w14:paraId="7750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75C0590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住宿业</w:t>
            </w:r>
          </w:p>
        </w:tc>
        <w:tc>
          <w:tcPr>
            <w:tcW w:w="1568" w:type="dxa"/>
            <w:vAlign w:val="center"/>
          </w:tcPr>
          <w:p w14:paraId="366D296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49E845F9">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0C6300C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X≥300</w:t>
            </w:r>
          </w:p>
        </w:tc>
        <w:tc>
          <w:tcPr>
            <w:tcW w:w="1701" w:type="dxa"/>
            <w:vAlign w:val="center"/>
          </w:tcPr>
          <w:p w14:paraId="21004705">
            <w:pPr>
              <w:spacing w:line="288" w:lineRule="auto"/>
              <w:ind w:left="24" w:leftChars="-51" w:hanging="126" w:hangingChars="60"/>
              <w:rPr>
                <w:rFonts w:ascii="宋体" w:hAnsi="宋体" w:cs="宋体"/>
                <w:b/>
                <w:color w:val="auto"/>
                <w:sz w:val="21"/>
                <w:szCs w:val="21"/>
                <w:highlight w:val="none"/>
              </w:rPr>
            </w:pPr>
            <w:r>
              <w:rPr>
                <w:rFonts w:hint="eastAsia" w:ascii="宋体" w:hAnsi="宋体" w:cs="宋体"/>
                <w:b/>
                <w:color w:val="auto"/>
                <w:sz w:val="21"/>
                <w:szCs w:val="21"/>
                <w:highlight w:val="none"/>
              </w:rPr>
              <w:t xml:space="preserve">100≤X＜300 </w:t>
            </w:r>
          </w:p>
        </w:tc>
        <w:tc>
          <w:tcPr>
            <w:tcW w:w="1426" w:type="dxa"/>
            <w:vAlign w:val="center"/>
          </w:tcPr>
          <w:p w14:paraId="03326FC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10≤X＜100</w:t>
            </w:r>
          </w:p>
        </w:tc>
        <w:tc>
          <w:tcPr>
            <w:tcW w:w="992" w:type="dxa"/>
            <w:vAlign w:val="center"/>
          </w:tcPr>
          <w:p w14:paraId="50C9C6CE">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w:t>
            </w:r>
          </w:p>
        </w:tc>
      </w:tr>
      <w:tr w14:paraId="5F5A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3212EA50">
            <w:pPr>
              <w:spacing w:line="288" w:lineRule="auto"/>
              <w:rPr>
                <w:rFonts w:ascii="宋体" w:hAnsi="宋体" w:cs="宋体"/>
                <w:b/>
                <w:color w:val="auto"/>
                <w:sz w:val="21"/>
                <w:szCs w:val="21"/>
                <w:highlight w:val="none"/>
              </w:rPr>
            </w:pPr>
          </w:p>
        </w:tc>
        <w:tc>
          <w:tcPr>
            <w:tcW w:w="1568" w:type="dxa"/>
            <w:vAlign w:val="center"/>
          </w:tcPr>
          <w:p w14:paraId="20EBF6E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394071D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6F1FD4E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Y≥10000</w:t>
            </w:r>
          </w:p>
        </w:tc>
        <w:tc>
          <w:tcPr>
            <w:tcW w:w="1701" w:type="dxa"/>
            <w:vAlign w:val="center"/>
          </w:tcPr>
          <w:p w14:paraId="68C9BF6F">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2000≤Y＜10000</w:t>
            </w:r>
          </w:p>
        </w:tc>
        <w:tc>
          <w:tcPr>
            <w:tcW w:w="1426" w:type="dxa"/>
            <w:vAlign w:val="center"/>
          </w:tcPr>
          <w:p w14:paraId="7C527FDB">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100≤Y＜2000</w:t>
            </w:r>
          </w:p>
        </w:tc>
        <w:tc>
          <w:tcPr>
            <w:tcW w:w="992" w:type="dxa"/>
            <w:vAlign w:val="center"/>
          </w:tcPr>
          <w:p w14:paraId="5F3E15D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w:t>
            </w:r>
          </w:p>
        </w:tc>
      </w:tr>
      <w:tr w14:paraId="7E90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55471A05">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餐饮业</w:t>
            </w:r>
          </w:p>
        </w:tc>
        <w:tc>
          <w:tcPr>
            <w:tcW w:w="1568" w:type="dxa"/>
            <w:vAlign w:val="center"/>
          </w:tcPr>
          <w:p w14:paraId="76C2961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6196033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3DACC359">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X≥300</w:t>
            </w:r>
          </w:p>
        </w:tc>
        <w:tc>
          <w:tcPr>
            <w:tcW w:w="1701" w:type="dxa"/>
            <w:vAlign w:val="center"/>
          </w:tcPr>
          <w:p w14:paraId="2E4BF898">
            <w:pPr>
              <w:spacing w:line="288" w:lineRule="auto"/>
              <w:ind w:left="24" w:leftChars="-51" w:hanging="126" w:hangingChars="60"/>
              <w:rPr>
                <w:rFonts w:ascii="宋体" w:hAnsi="宋体" w:cs="宋体"/>
                <w:b/>
                <w:color w:val="auto"/>
                <w:sz w:val="21"/>
                <w:szCs w:val="21"/>
                <w:highlight w:val="none"/>
              </w:rPr>
            </w:pPr>
            <w:r>
              <w:rPr>
                <w:rFonts w:hint="eastAsia" w:ascii="宋体" w:hAnsi="宋体" w:cs="宋体"/>
                <w:b/>
                <w:color w:val="auto"/>
                <w:sz w:val="21"/>
                <w:szCs w:val="21"/>
                <w:highlight w:val="none"/>
              </w:rPr>
              <w:t xml:space="preserve">100≤X＜300 </w:t>
            </w:r>
          </w:p>
        </w:tc>
        <w:tc>
          <w:tcPr>
            <w:tcW w:w="1426" w:type="dxa"/>
            <w:vAlign w:val="center"/>
          </w:tcPr>
          <w:p w14:paraId="1EE78299">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10≤X＜100</w:t>
            </w:r>
          </w:p>
        </w:tc>
        <w:tc>
          <w:tcPr>
            <w:tcW w:w="992" w:type="dxa"/>
            <w:vAlign w:val="center"/>
          </w:tcPr>
          <w:p w14:paraId="6439553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w:t>
            </w:r>
          </w:p>
        </w:tc>
      </w:tr>
      <w:tr w14:paraId="628C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5F4130F7">
            <w:pPr>
              <w:spacing w:line="288" w:lineRule="auto"/>
              <w:rPr>
                <w:rFonts w:ascii="宋体" w:hAnsi="宋体" w:cs="宋体"/>
                <w:b/>
                <w:color w:val="auto"/>
                <w:sz w:val="21"/>
                <w:szCs w:val="21"/>
                <w:highlight w:val="none"/>
              </w:rPr>
            </w:pPr>
          </w:p>
        </w:tc>
        <w:tc>
          <w:tcPr>
            <w:tcW w:w="1568" w:type="dxa"/>
            <w:vAlign w:val="center"/>
          </w:tcPr>
          <w:p w14:paraId="2E42A746">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565B50B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38A71902">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Y≥10000</w:t>
            </w:r>
          </w:p>
        </w:tc>
        <w:tc>
          <w:tcPr>
            <w:tcW w:w="1701" w:type="dxa"/>
            <w:vAlign w:val="center"/>
          </w:tcPr>
          <w:p w14:paraId="17E67079">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2000≤Y＜10000</w:t>
            </w:r>
          </w:p>
        </w:tc>
        <w:tc>
          <w:tcPr>
            <w:tcW w:w="1426" w:type="dxa"/>
            <w:vAlign w:val="center"/>
          </w:tcPr>
          <w:p w14:paraId="575E81C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100≤Y＜2000</w:t>
            </w:r>
          </w:p>
        </w:tc>
        <w:tc>
          <w:tcPr>
            <w:tcW w:w="992" w:type="dxa"/>
            <w:vAlign w:val="center"/>
          </w:tcPr>
          <w:p w14:paraId="3915D34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w:t>
            </w:r>
          </w:p>
        </w:tc>
      </w:tr>
      <w:tr w14:paraId="6795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20B9FE4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信息传输业*</w:t>
            </w:r>
          </w:p>
        </w:tc>
        <w:tc>
          <w:tcPr>
            <w:tcW w:w="1568" w:type="dxa"/>
            <w:vAlign w:val="center"/>
          </w:tcPr>
          <w:p w14:paraId="6BCC30A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5C5F82E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4F4C038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X≥2000</w:t>
            </w:r>
          </w:p>
        </w:tc>
        <w:tc>
          <w:tcPr>
            <w:tcW w:w="1701" w:type="dxa"/>
            <w:vAlign w:val="center"/>
          </w:tcPr>
          <w:p w14:paraId="0B65165D">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100≤X＜2000</w:t>
            </w:r>
          </w:p>
        </w:tc>
        <w:tc>
          <w:tcPr>
            <w:tcW w:w="1426" w:type="dxa"/>
            <w:vAlign w:val="center"/>
          </w:tcPr>
          <w:p w14:paraId="611BE02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10≤X＜100</w:t>
            </w:r>
          </w:p>
        </w:tc>
        <w:tc>
          <w:tcPr>
            <w:tcW w:w="992" w:type="dxa"/>
            <w:vAlign w:val="center"/>
          </w:tcPr>
          <w:p w14:paraId="590593CB">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w:t>
            </w:r>
          </w:p>
        </w:tc>
      </w:tr>
      <w:tr w14:paraId="4F3A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914" w:type="dxa"/>
            <w:vMerge w:val="continue"/>
            <w:vAlign w:val="center"/>
          </w:tcPr>
          <w:p w14:paraId="68C28FE4">
            <w:pPr>
              <w:spacing w:line="288" w:lineRule="auto"/>
              <w:rPr>
                <w:rFonts w:ascii="宋体" w:hAnsi="宋体" w:cs="宋体"/>
                <w:b/>
                <w:color w:val="auto"/>
                <w:sz w:val="21"/>
                <w:szCs w:val="21"/>
                <w:highlight w:val="none"/>
              </w:rPr>
            </w:pPr>
          </w:p>
        </w:tc>
        <w:tc>
          <w:tcPr>
            <w:tcW w:w="1568" w:type="dxa"/>
            <w:vAlign w:val="center"/>
          </w:tcPr>
          <w:p w14:paraId="6D3EA794">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56F8437E">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6525765D">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Y≥100000</w:t>
            </w:r>
          </w:p>
        </w:tc>
        <w:tc>
          <w:tcPr>
            <w:tcW w:w="1701" w:type="dxa"/>
            <w:vAlign w:val="center"/>
          </w:tcPr>
          <w:p w14:paraId="11AA36F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1000≤Y＜100000</w:t>
            </w:r>
          </w:p>
        </w:tc>
        <w:tc>
          <w:tcPr>
            <w:tcW w:w="1426" w:type="dxa"/>
            <w:vAlign w:val="center"/>
          </w:tcPr>
          <w:p w14:paraId="0669DDE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100≤Y＜1000</w:t>
            </w:r>
          </w:p>
        </w:tc>
        <w:tc>
          <w:tcPr>
            <w:tcW w:w="992" w:type="dxa"/>
            <w:vAlign w:val="center"/>
          </w:tcPr>
          <w:p w14:paraId="34174BF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w:t>
            </w:r>
          </w:p>
        </w:tc>
      </w:tr>
      <w:tr w14:paraId="5581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restart"/>
            <w:vAlign w:val="center"/>
          </w:tcPr>
          <w:p w14:paraId="11CE9891">
            <w:pPr>
              <w:spacing w:line="288" w:lineRule="auto"/>
              <w:rPr>
                <w:rFonts w:ascii="宋体" w:hAnsi="宋体" w:cs="宋体"/>
                <w:b/>
                <w:color w:val="auto"/>
                <w:spacing w:val="-12"/>
                <w:sz w:val="21"/>
                <w:szCs w:val="21"/>
                <w:highlight w:val="none"/>
              </w:rPr>
            </w:pPr>
            <w:r>
              <w:rPr>
                <w:rFonts w:hint="eastAsia" w:ascii="宋体" w:hAnsi="宋体" w:cs="宋体"/>
                <w:b/>
                <w:color w:val="auto"/>
                <w:spacing w:val="-12"/>
                <w:sz w:val="21"/>
                <w:szCs w:val="21"/>
                <w:highlight w:val="none"/>
              </w:rPr>
              <w:t>软件和信息技术服</w:t>
            </w:r>
            <w:r>
              <w:rPr>
                <w:rFonts w:hint="eastAsia" w:ascii="宋体" w:hAnsi="宋体" w:cs="宋体"/>
                <w:b/>
                <w:color w:val="auto"/>
                <w:sz w:val="21"/>
                <w:szCs w:val="21"/>
                <w:highlight w:val="none"/>
              </w:rPr>
              <w:t>务业</w:t>
            </w:r>
          </w:p>
        </w:tc>
        <w:tc>
          <w:tcPr>
            <w:tcW w:w="1568" w:type="dxa"/>
            <w:vAlign w:val="center"/>
          </w:tcPr>
          <w:p w14:paraId="0BED30F5">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16B4D15B">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1331D1B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X≥300</w:t>
            </w:r>
          </w:p>
        </w:tc>
        <w:tc>
          <w:tcPr>
            <w:tcW w:w="1701" w:type="dxa"/>
            <w:vAlign w:val="center"/>
          </w:tcPr>
          <w:p w14:paraId="53D83663">
            <w:pPr>
              <w:spacing w:line="288" w:lineRule="auto"/>
              <w:ind w:left="24" w:leftChars="-51" w:hanging="126" w:hangingChars="60"/>
              <w:rPr>
                <w:rFonts w:ascii="宋体" w:hAnsi="宋体" w:cs="宋体"/>
                <w:b/>
                <w:color w:val="auto"/>
                <w:sz w:val="21"/>
                <w:szCs w:val="21"/>
                <w:highlight w:val="none"/>
              </w:rPr>
            </w:pPr>
            <w:r>
              <w:rPr>
                <w:rFonts w:hint="eastAsia" w:ascii="宋体" w:hAnsi="宋体" w:cs="宋体"/>
                <w:b/>
                <w:color w:val="auto"/>
                <w:sz w:val="21"/>
                <w:szCs w:val="21"/>
                <w:highlight w:val="none"/>
              </w:rPr>
              <w:t xml:space="preserve">100≤X＜300 </w:t>
            </w:r>
          </w:p>
        </w:tc>
        <w:tc>
          <w:tcPr>
            <w:tcW w:w="1426" w:type="dxa"/>
            <w:vAlign w:val="center"/>
          </w:tcPr>
          <w:p w14:paraId="40B898C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10≤X＜100</w:t>
            </w:r>
          </w:p>
        </w:tc>
        <w:tc>
          <w:tcPr>
            <w:tcW w:w="992" w:type="dxa"/>
            <w:vAlign w:val="center"/>
          </w:tcPr>
          <w:p w14:paraId="24FF121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w:t>
            </w:r>
          </w:p>
        </w:tc>
      </w:tr>
      <w:tr w14:paraId="383A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continue"/>
            <w:vAlign w:val="center"/>
          </w:tcPr>
          <w:p w14:paraId="2AC0423E">
            <w:pPr>
              <w:spacing w:line="288" w:lineRule="auto"/>
              <w:rPr>
                <w:rFonts w:ascii="宋体" w:hAnsi="宋体" w:cs="宋体"/>
                <w:b/>
                <w:color w:val="auto"/>
                <w:spacing w:val="-12"/>
                <w:sz w:val="21"/>
                <w:szCs w:val="21"/>
                <w:highlight w:val="none"/>
              </w:rPr>
            </w:pPr>
          </w:p>
        </w:tc>
        <w:tc>
          <w:tcPr>
            <w:tcW w:w="1568" w:type="dxa"/>
            <w:vAlign w:val="center"/>
          </w:tcPr>
          <w:p w14:paraId="0187D00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4F2A860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6396BF2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Y≥10000</w:t>
            </w:r>
          </w:p>
        </w:tc>
        <w:tc>
          <w:tcPr>
            <w:tcW w:w="1701" w:type="dxa"/>
            <w:vAlign w:val="center"/>
          </w:tcPr>
          <w:p w14:paraId="1768C50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1000≤Y＜10000</w:t>
            </w:r>
          </w:p>
        </w:tc>
        <w:tc>
          <w:tcPr>
            <w:tcW w:w="1426" w:type="dxa"/>
            <w:vAlign w:val="center"/>
          </w:tcPr>
          <w:p w14:paraId="2F1DEAB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50≤Y＜1000</w:t>
            </w:r>
          </w:p>
        </w:tc>
        <w:tc>
          <w:tcPr>
            <w:tcW w:w="992" w:type="dxa"/>
            <w:vAlign w:val="center"/>
          </w:tcPr>
          <w:p w14:paraId="192EDA7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Y＜50</w:t>
            </w:r>
          </w:p>
        </w:tc>
      </w:tr>
      <w:tr w14:paraId="2A5E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restart"/>
            <w:vAlign w:val="center"/>
          </w:tcPr>
          <w:p w14:paraId="1984E3A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房地产开发经营</w:t>
            </w:r>
          </w:p>
        </w:tc>
        <w:tc>
          <w:tcPr>
            <w:tcW w:w="1568" w:type="dxa"/>
            <w:vAlign w:val="center"/>
          </w:tcPr>
          <w:p w14:paraId="6B3DA58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63700F69">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11507F9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Y≥200000</w:t>
            </w:r>
          </w:p>
        </w:tc>
        <w:tc>
          <w:tcPr>
            <w:tcW w:w="1701" w:type="dxa"/>
            <w:vAlign w:val="center"/>
          </w:tcPr>
          <w:p w14:paraId="1FEB65AB">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1000≤Y＜200000</w:t>
            </w:r>
          </w:p>
        </w:tc>
        <w:tc>
          <w:tcPr>
            <w:tcW w:w="1426" w:type="dxa"/>
            <w:vAlign w:val="center"/>
          </w:tcPr>
          <w:p w14:paraId="16D123B9">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100≤Y＜1000</w:t>
            </w:r>
          </w:p>
        </w:tc>
        <w:tc>
          <w:tcPr>
            <w:tcW w:w="992" w:type="dxa"/>
            <w:vAlign w:val="center"/>
          </w:tcPr>
          <w:p w14:paraId="2295488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w:t>
            </w:r>
          </w:p>
        </w:tc>
      </w:tr>
      <w:tr w14:paraId="681E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continue"/>
            <w:vAlign w:val="center"/>
          </w:tcPr>
          <w:p w14:paraId="594E17D2">
            <w:pPr>
              <w:spacing w:line="288" w:lineRule="auto"/>
              <w:rPr>
                <w:rFonts w:ascii="宋体" w:hAnsi="宋体" w:cs="宋体"/>
                <w:b/>
                <w:color w:val="auto"/>
                <w:sz w:val="21"/>
                <w:szCs w:val="21"/>
                <w:highlight w:val="none"/>
              </w:rPr>
            </w:pPr>
          </w:p>
        </w:tc>
        <w:tc>
          <w:tcPr>
            <w:tcW w:w="1568" w:type="dxa"/>
            <w:vAlign w:val="center"/>
          </w:tcPr>
          <w:p w14:paraId="16E59665">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资产总额(Z)</w:t>
            </w:r>
          </w:p>
        </w:tc>
        <w:tc>
          <w:tcPr>
            <w:tcW w:w="709" w:type="dxa"/>
            <w:vAlign w:val="center"/>
          </w:tcPr>
          <w:p w14:paraId="0B01EF2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4EC0BFC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Z≥10000</w:t>
            </w:r>
          </w:p>
        </w:tc>
        <w:tc>
          <w:tcPr>
            <w:tcW w:w="1701" w:type="dxa"/>
            <w:vAlign w:val="center"/>
          </w:tcPr>
          <w:p w14:paraId="10D2333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5000≤Z＜10000</w:t>
            </w:r>
          </w:p>
        </w:tc>
        <w:tc>
          <w:tcPr>
            <w:tcW w:w="1426" w:type="dxa"/>
            <w:vAlign w:val="center"/>
          </w:tcPr>
          <w:p w14:paraId="1561D06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2000≤Z＜5000   </w:t>
            </w:r>
          </w:p>
        </w:tc>
        <w:tc>
          <w:tcPr>
            <w:tcW w:w="992" w:type="dxa"/>
            <w:vAlign w:val="center"/>
          </w:tcPr>
          <w:p w14:paraId="2116017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Z＜2000</w:t>
            </w:r>
          </w:p>
        </w:tc>
      </w:tr>
      <w:tr w14:paraId="39A8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restart"/>
            <w:vAlign w:val="center"/>
          </w:tcPr>
          <w:p w14:paraId="297AAA0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物业管理</w:t>
            </w:r>
          </w:p>
        </w:tc>
        <w:tc>
          <w:tcPr>
            <w:tcW w:w="1568" w:type="dxa"/>
            <w:vAlign w:val="center"/>
          </w:tcPr>
          <w:p w14:paraId="77330D5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7BE7254B">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65A2856D">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X≥1000</w:t>
            </w:r>
          </w:p>
        </w:tc>
        <w:tc>
          <w:tcPr>
            <w:tcW w:w="1701" w:type="dxa"/>
            <w:vAlign w:val="center"/>
          </w:tcPr>
          <w:p w14:paraId="3D2FFDC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300≤X＜1000</w:t>
            </w:r>
          </w:p>
        </w:tc>
        <w:tc>
          <w:tcPr>
            <w:tcW w:w="1426" w:type="dxa"/>
            <w:vAlign w:val="center"/>
          </w:tcPr>
          <w:p w14:paraId="1AE52FF5">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100≤X＜300 </w:t>
            </w:r>
          </w:p>
        </w:tc>
        <w:tc>
          <w:tcPr>
            <w:tcW w:w="992" w:type="dxa"/>
            <w:vAlign w:val="center"/>
          </w:tcPr>
          <w:p w14:paraId="28428F1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X＜100</w:t>
            </w:r>
          </w:p>
        </w:tc>
      </w:tr>
      <w:tr w14:paraId="0870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continue"/>
            <w:vAlign w:val="center"/>
          </w:tcPr>
          <w:p w14:paraId="5FAA0F2D">
            <w:pPr>
              <w:spacing w:line="288" w:lineRule="auto"/>
              <w:rPr>
                <w:rFonts w:ascii="宋体" w:hAnsi="宋体" w:cs="宋体"/>
                <w:b/>
                <w:color w:val="auto"/>
                <w:sz w:val="21"/>
                <w:szCs w:val="21"/>
                <w:highlight w:val="none"/>
              </w:rPr>
            </w:pPr>
          </w:p>
        </w:tc>
        <w:tc>
          <w:tcPr>
            <w:tcW w:w="1568" w:type="dxa"/>
            <w:vAlign w:val="center"/>
          </w:tcPr>
          <w:p w14:paraId="1794B39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661D366B">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71185C34">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Y≥5000</w:t>
            </w:r>
          </w:p>
        </w:tc>
        <w:tc>
          <w:tcPr>
            <w:tcW w:w="1701" w:type="dxa"/>
            <w:vAlign w:val="center"/>
          </w:tcPr>
          <w:p w14:paraId="0F93E5FE">
            <w:pPr>
              <w:spacing w:line="288" w:lineRule="auto"/>
              <w:ind w:left="24" w:leftChars="-51" w:hanging="126" w:hangingChars="60"/>
              <w:rPr>
                <w:rFonts w:ascii="宋体" w:hAnsi="宋体" w:cs="宋体"/>
                <w:b/>
                <w:color w:val="auto"/>
                <w:sz w:val="21"/>
                <w:szCs w:val="21"/>
                <w:highlight w:val="none"/>
              </w:rPr>
            </w:pPr>
            <w:r>
              <w:rPr>
                <w:rFonts w:hint="eastAsia" w:ascii="宋体" w:hAnsi="宋体" w:cs="宋体"/>
                <w:b/>
                <w:color w:val="auto"/>
                <w:sz w:val="21"/>
                <w:szCs w:val="21"/>
                <w:highlight w:val="none"/>
              </w:rPr>
              <w:t xml:space="preserve">1000≤Y＜5000 </w:t>
            </w:r>
          </w:p>
        </w:tc>
        <w:tc>
          <w:tcPr>
            <w:tcW w:w="1426" w:type="dxa"/>
            <w:vAlign w:val="center"/>
          </w:tcPr>
          <w:p w14:paraId="293BE925">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500≤Y＜1000</w:t>
            </w:r>
          </w:p>
        </w:tc>
        <w:tc>
          <w:tcPr>
            <w:tcW w:w="992" w:type="dxa"/>
            <w:vAlign w:val="center"/>
          </w:tcPr>
          <w:p w14:paraId="53B324D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Y＜500</w:t>
            </w:r>
          </w:p>
        </w:tc>
      </w:tr>
      <w:tr w14:paraId="0E1C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restart"/>
            <w:vAlign w:val="center"/>
          </w:tcPr>
          <w:p w14:paraId="59B3D24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租赁和商务服务业</w:t>
            </w:r>
          </w:p>
        </w:tc>
        <w:tc>
          <w:tcPr>
            <w:tcW w:w="1568" w:type="dxa"/>
            <w:vAlign w:val="center"/>
          </w:tcPr>
          <w:p w14:paraId="6EC68D4F">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5F2E92DF">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5DCA130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X≥300</w:t>
            </w:r>
          </w:p>
        </w:tc>
        <w:tc>
          <w:tcPr>
            <w:tcW w:w="1701" w:type="dxa"/>
            <w:vAlign w:val="center"/>
          </w:tcPr>
          <w:p w14:paraId="466D4BF8">
            <w:pPr>
              <w:spacing w:line="288" w:lineRule="auto"/>
              <w:ind w:left="24" w:leftChars="-51" w:hanging="126" w:hangingChars="60"/>
              <w:rPr>
                <w:rFonts w:ascii="宋体" w:hAnsi="宋体" w:cs="宋体"/>
                <w:b/>
                <w:color w:val="auto"/>
                <w:sz w:val="21"/>
                <w:szCs w:val="21"/>
                <w:highlight w:val="none"/>
              </w:rPr>
            </w:pPr>
            <w:r>
              <w:rPr>
                <w:rFonts w:hint="eastAsia" w:ascii="宋体" w:hAnsi="宋体" w:cs="宋体"/>
                <w:b/>
                <w:color w:val="auto"/>
                <w:sz w:val="21"/>
                <w:szCs w:val="21"/>
                <w:highlight w:val="none"/>
              </w:rPr>
              <w:t xml:space="preserve">100≤X＜300 </w:t>
            </w:r>
          </w:p>
        </w:tc>
        <w:tc>
          <w:tcPr>
            <w:tcW w:w="1426" w:type="dxa"/>
            <w:vAlign w:val="center"/>
          </w:tcPr>
          <w:p w14:paraId="118D578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10≤X＜100</w:t>
            </w:r>
          </w:p>
        </w:tc>
        <w:tc>
          <w:tcPr>
            <w:tcW w:w="992" w:type="dxa"/>
            <w:vAlign w:val="center"/>
          </w:tcPr>
          <w:p w14:paraId="793D188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w:t>
            </w:r>
          </w:p>
        </w:tc>
      </w:tr>
      <w:tr w14:paraId="309F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continue"/>
            <w:vAlign w:val="center"/>
          </w:tcPr>
          <w:p w14:paraId="30E7B69D">
            <w:pPr>
              <w:spacing w:line="288" w:lineRule="auto"/>
              <w:rPr>
                <w:rFonts w:ascii="宋体" w:hAnsi="宋体" w:cs="宋体"/>
                <w:b/>
                <w:color w:val="auto"/>
                <w:sz w:val="21"/>
                <w:szCs w:val="21"/>
                <w:highlight w:val="none"/>
              </w:rPr>
            </w:pPr>
          </w:p>
        </w:tc>
        <w:tc>
          <w:tcPr>
            <w:tcW w:w="1568" w:type="dxa"/>
            <w:vAlign w:val="center"/>
          </w:tcPr>
          <w:p w14:paraId="3013AFA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资产总额(Z)</w:t>
            </w:r>
          </w:p>
        </w:tc>
        <w:tc>
          <w:tcPr>
            <w:tcW w:w="709" w:type="dxa"/>
            <w:vAlign w:val="center"/>
          </w:tcPr>
          <w:p w14:paraId="1AF8DED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11F289F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Z≥120000</w:t>
            </w:r>
          </w:p>
        </w:tc>
        <w:tc>
          <w:tcPr>
            <w:tcW w:w="1701" w:type="dxa"/>
            <w:vAlign w:val="center"/>
          </w:tcPr>
          <w:p w14:paraId="3D149D4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8000≤Z＜120000</w:t>
            </w:r>
          </w:p>
        </w:tc>
        <w:tc>
          <w:tcPr>
            <w:tcW w:w="1426" w:type="dxa"/>
            <w:vAlign w:val="center"/>
          </w:tcPr>
          <w:p w14:paraId="31262C2E">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100≤Z＜8000</w:t>
            </w:r>
          </w:p>
        </w:tc>
        <w:tc>
          <w:tcPr>
            <w:tcW w:w="992" w:type="dxa"/>
            <w:vAlign w:val="center"/>
          </w:tcPr>
          <w:p w14:paraId="468E4B6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Z＜100</w:t>
            </w:r>
          </w:p>
        </w:tc>
      </w:tr>
      <w:tr w14:paraId="1DF9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4" w:type="dxa"/>
            <w:vAlign w:val="center"/>
          </w:tcPr>
          <w:p w14:paraId="593BF9B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其他未列明行业*</w:t>
            </w:r>
          </w:p>
        </w:tc>
        <w:tc>
          <w:tcPr>
            <w:tcW w:w="1568" w:type="dxa"/>
            <w:vAlign w:val="center"/>
          </w:tcPr>
          <w:p w14:paraId="1D496C72">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3839ACE2">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2E8E646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X≥300</w:t>
            </w:r>
          </w:p>
        </w:tc>
        <w:tc>
          <w:tcPr>
            <w:tcW w:w="1701" w:type="dxa"/>
            <w:vAlign w:val="center"/>
          </w:tcPr>
          <w:p w14:paraId="68476C01">
            <w:pPr>
              <w:spacing w:line="288" w:lineRule="auto"/>
              <w:ind w:left="24" w:leftChars="-51" w:hanging="126" w:hangingChars="60"/>
              <w:rPr>
                <w:rFonts w:ascii="宋体" w:hAnsi="宋体" w:cs="宋体"/>
                <w:b/>
                <w:color w:val="auto"/>
                <w:sz w:val="21"/>
                <w:szCs w:val="21"/>
                <w:highlight w:val="none"/>
              </w:rPr>
            </w:pPr>
            <w:r>
              <w:rPr>
                <w:rFonts w:hint="eastAsia" w:ascii="宋体" w:hAnsi="宋体" w:cs="宋体"/>
                <w:b/>
                <w:color w:val="auto"/>
                <w:sz w:val="21"/>
                <w:szCs w:val="21"/>
                <w:highlight w:val="none"/>
              </w:rPr>
              <w:t xml:space="preserve">100≤X＜300 </w:t>
            </w:r>
          </w:p>
        </w:tc>
        <w:tc>
          <w:tcPr>
            <w:tcW w:w="1426" w:type="dxa"/>
            <w:vAlign w:val="center"/>
          </w:tcPr>
          <w:p w14:paraId="7D28C1B2">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10≤X＜100</w:t>
            </w:r>
          </w:p>
        </w:tc>
        <w:tc>
          <w:tcPr>
            <w:tcW w:w="992" w:type="dxa"/>
            <w:vAlign w:val="center"/>
          </w:tcPr>
          <w:p w14:paraId="4A919A8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w:t>
            </w:r>
          </w:p>
        </w:tc>
      </w:tr>
    </w:tbl>
    <w:p w14:paraId="00411CB1">
      <w:pPr>
        <w:spacing w:line="288" w:lineRule="auto"/>
        <w:rPr>
          <w:rFonts w:ascii="宋体" w:hAnsi="宋体" w:cs="宋体"/>
          <w:color w:val="auto"/>
          <w:spacing w:val="8"/>
          <w:sz w:val="21"/>
          <w:szCs w:val="21"/>
          <w:highlight w:val="none"/>
        </w:rPr>
      </w:pPr>
      <w:r>
        <w:rPr>
          <w:rFonts w:hint="eastAsia" w:ascii="宋体" w:hAnsi="宋体" w:cs="宋体"/>
          <w:color w:val="auto"/>
          <w:spacing w:val="8"/>
          <w:sz w:val="21"/>
          <w:szCs w:val="21"/>
          <w:highlight w:val="none"/>
        </w:rPr>
        <w:t>说明：</w:t>
      </w:r>
    </w:p>
    <w:p w14:paraId="2CABB715">
      <w:pPr>
        <w:spacing w:line="288" w:lineRule="auto"/>
        <w:rPr>
          <w:rFonts w:ascii="宋体" w:hAnsi="宋体" w:cs="宋体"/>
          <w:color w:val="auto"/>
          <w:spacing w:val="8"/>
          <w:sz w:val="21"/>
          <w:szCs w:val="21"/>
          <w:highlight w:val="none"/>
        </w:rPr>
      </w:pPr>
      <w:r>
        <w:rPr>
          <w:rFonts w:hint="eastAsia" w:ascii="宋体" w:hAnsi="宋体" w:cs="宋体"/>
          <w:color w:val="auto"/>
          <w:spacing w:val="8"/>
          <w:sz w:val="21"/>
          <w:szCs w:val="21"/>
          <w:highlight w:val="none"/>
        </w:rPr>
        <w:t>　　1.大型、中型和小型企业须同时满足所列指标的下限，否则下划一档；微型企业只须满足所列指标中的一项即可。</w:t>
      </w:r>
    </w:p>
    <w:p w14:paraId="5719EF31">
      <w:pPr>
        <w:spacing w:line="288" w:lineRule="auto"/>
        <w:ind w:firstLine="452"/>
        <w:rPr>
          <w:rFonts w:ascii="宋体" w:hAnsi="宋体" w:cs="宋体"/>
          <w:color w:val="auto"/>
          <w:spacing w:val="8"/>
          <w:sz w:val="21"/>
          <w:szCs w:val="21"/>
          <w:highlight w:val="none"/>
        </w:rPr>
      </w:pPr>
      <w:r>
        <w:rPr>
          <w:rFonts w:hint="eastAsia" w:ascii="宋体" w:hAnsi="宋体" w:cs="宋体"/>
          <w:color w:val="auto"/>
          <w:spacing w:val="8"/>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67E09B8">
      <w:pPr>
        <w:spacing w:line="288" w:lineRule="auto"/>
        <w:ind w:firstLine="452"/>
        <w:rPr>
          <w:rFonts w:ascii="宋体" w:hAnsi="宋体" w:cs="宋体"/>
          <w:color w:val="auto"/>
          <w:sz w:val="21"/>
          <w:szCs w:val="21"/>
          <w:highlight w:val="none"/>
        </w:rPr>
      </w:pPr>
      <w:r>
        <w:rPr>
          <w:rFonts w:hint="eastAsia" w:ascii="宋体" w:hAnsi="宋体" w:cs="宋体"/>
          <w:color w:val="auto"/>
          <w:spacing w:val="8"/>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4003401">
      <w:pPr>
        <w:spacing w:line="288" w:lineRule="auto"/>
        <w:ind w:firstLine="452"/>
        <w:rPr>
          <w:rFonts w:ascii="宋体" w:hAnsi="宋体" w:cs="宋体"/>
          <w:color w:val="auto"/>
          <w:sz w:val="24"/>
          <w:szCs w:val="24"/>
          <w:highlight w:val="none"/>
        </w:rPr>
      </w:pPr>
    </w:p>
    <w:p w14:paraId="044E5F0D">
      <w:pPr>
        <w:rPr>
          <w:rFonts w:ascii="宋体" w:hAnsi="宋体" w:cs="宋体"/>
          <w:color w:val="auto"/>
          <w:sz w:val="24"/>
          <w:szCs w:val="24"/>
          <w:highlight w:val="none"/>
        </w:rPr>
      </w:pPr>
    </w:p>
    <w:sectPr>
      <w:footerReference r:id="rId7" w:type="first"/>
      <w:footerReference r:id="rId6" w:type="default"/>
      <w:pgSz w:w="11906" w:h="16838"/>
      <w:pgMar w:top="1418" w:right="1247" w:bottom="1418" w:left="1418" w:header="851" w:footer="992"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E6D1C">
    <w:pPr>
      <w:pStyle w:val="27"/>
      <w:framePr w:wrap="around" w:vAnchor="text" w:hAnchor="margin" w:xAlign="center" w:y="1"/>
      <w:rPr>
        <w:rStyle w:val="47"/>
      </w:rPr>
    </w:pPr>
    <w:r>
      <w:fldChar w:fldCharType="begin"/>
    </w:r>
    <w:r>
      <w:rPr>
        <w:rStyle w:val="47"/>
      </w:rPr>
      <w:instrText xml:space="preserve">PAGE  </w:instrText>
    </w:r>
    <w:r>
      <w:fldChar w:fldCharType="end"/>
    </w:r>
  </w:p>
  <w:p w14:paraId="074F9B70">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3FEAE">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27EDD">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E27EDD">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57F79">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BA4F9">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7BA4F9">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0CA21">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BE189">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0352F"/>
    <w:multiLevelType w:val="singleLevel"/>
    <w:tmpl w:val="00C0352F"/>
    <w:lvl w:ilvl="0" w:tentative="0">
      <w:start w:val="1"/>
      <w:numFmt w:val="decimal"/>
      <w:lvlText w:val="%1."/>
      <w:lvlJc w:val="left"/>
      <w:pPr>
        <w:tabs>
          <w:tab w:val="left" w:pos="312"/>
        </w:tabs>
      </w:pPr>
    </w:lvl>
  </w:abstractNum>
  <w:abstractNum w:abstractNumId="1">
    <w:nsid w:val="130F4B7E"/>
    <w:multiLevelType w:val="multilevel"/>
    <w:tmpl w:val="130F4B7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F46C8B"/>
    <w:multiLevelType w:val="singleLevel"/>
    <w:tmpl w:val="2FF46C8B"/>
    <w:lvl w:ilvl="0" w:tentative="0">
      <w:start w:val="4"/>
      <w:numFmt w:val="chineseCounting"/>
      <w:suff w:val="space"/>
      <w:lvlText w:val="第%1部分"/>
      <w:lvlJc w:val="left"/>
      <w:rPr>
        <w:rFonts w:hint="eastAsia"/>
      </w:rPr>
    </w:lvl>
  </w:abstractNum>
  <w:abstractNum w:abstractNumId="3">
    <w:nsid w:val="437F1085"/>
    <w:multiLevelType w:val="multilevel"/>
    <w:tmpl w:val="437F1085"/>
    <w:lvl w:ilvl="0" w:tentative="0">
      <w:start w:val="1"/>
      <w:numFmt w:val="chineseCountingThousand"/>
      <w:suff w:val="nothing"/>
      <w:lvlText w:val="%1、"/>
      <w:lvlJc w:val="left"/>
      <w:pPr>
        <w:ind w:left="420" w:hanging="420"/>
      </w:pPr>
      <w:rPr>
        <w:rFonts w:hint="eastAsia"/>
        <w:color w:val="auto"/>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4">
    <w:nsid w:val="49FB7819"/>
    <w:multiLevelType w:val="multilevel"/>
    <w:tmpl w:val="49FB78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BC7DAF"/>
    <w:multiLevelType w:val="multilevel"/>
    <w:tmpl w:val="63BC7DA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D823685"/>
    <w:multiLevelType w:val="multilevel"/>
    <w:tmpl w:val="7D8236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5"/>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NzM1M2I2MzEwYWFlOTRkZmY0M2MxMDk0Y2M1MGUifQ=="/>
  </w:docVars>
  <w:rsids>
    <w:rsidRoot w:val="00D37C4B"/>
    <w:rsid w:val="0000063C"/>
    <w:rsid w:val="00000B64"/>
    <w:rsid w:val="00000FB0"/>
    <w:rsid w:val="00001038"/>
    <w:rsid w:val="00001438"/>
    <w:rsid w:val="00001823"/>
    <w:rsid w:val="000023B1"/>
    <w:rsid w:val="00006F1F"/>
    <w:rsid w:val="00007AE1"/>
    <w:rsid w:val="000101BD"/>
    <w:rsid w:val="0001063A"/>
    <w:rsid w:val="00010FB2"/>
    <w:rsid w:val="00011694"/>
    <w:rsid w:val="000133AB"/>
    <w:rsid w:val="000137CF"/>
    <w:rsid w:val="000139E0"/>
    <w:rsid w:val="00013EAE"/>
    <w:rsid w:val="000144DD"/>
    <w:rsid w:val="00014C99"/>
    <w:rsid w:val="00014E67"/>
    <w:rsid w:val="000157BA"/>
    <w:rsid w:val="0001631D"/>
    <w:rsid w:val="00016C0B"/>
    <w:rsid w:val="0002036F"/>
    <w:rsid w:val="00021436"/>
    <w:rsid w:val="00021C37"/>
    <w:rsid w:val="000223F9"/>
    <w:rsid w:val="00022933"/>
    <w:rsid w:val="000231ED"/>
    <w:rsid w:val="00024500"/>
    <w:rsid w:val="00026024"/>
    <w:rsid w:val="0002653C"/>
    <w:rsid w:val="00026779"/>
    <w:rsid w:val="0002782B"/>
    <w:rsid w:val="00027BD7"/>
    <w:rsid w:val="00030044"/>
    <w:rsid w:val="00030540"/>
    <w:rsid w:val="0003186C"/>
    <w:rsid w:val="0003233B"/>
    <w:rsid w:val="00032B92"/>
    <w:rsid w:val="00033FD8"/>
    <w:rsid w:val="0003441E"/>
    <w:rsid w:val="0003452C"/>
    <w:rsid w:val="000345AB"/>
    <w:rsid w:val="00036173"/>
    <w:rsid w:val="000369F2"/>
    <w:rsid w:val="00036D73"/>
    <w:rsid w:val="000402A6"/>
    <w:rsid w:val="0004321F"/>
    <w:rsid w:val="0004386B"/>
    <w:rsid w:val="00044218"/>
    <w:rsid w:val="00044541"/>
    <w:rsid w:val="0004470C"/>
    <w:rsid w:val="00044CBE"/>
    <w:rsid w:val="00044DE4"/>
    <w:rsid w:val="00045D32"/>
    <w:rsid w:val="00046687"/>
    <w:rsid w:val="00046AB3"/>
    <w:rsid w:val="00046E9D"/>
    <w:rsid w:val="000473F5"/>
    <w:rsid w:val="00047B6C"/>
    <w:rsid w:val="00047D0E"/>
    <w:rsid w:val="00050A1E"/>
    <w:rsid w:val="00050C1D"/>
    <w:rsid w:val="00051B94"/>
    <w:rsid w:val="0005210D"/>
    <w:rsid w:val="0005211E"/>
    <w:rsid w:val="000525F2"/>
    <w:rsid w:val="00054B71"/>
    <w:rsid w:val="0005531F"/>
    <w:rsid w:val="000571BC"/>
    <w:rsid w:val="00057A23"/>
    <w:rsid w:val="00057A9D"/>
    <w:rsid w:val="00057EC5"/>
    <w:rsid w:val="0006020D"/>
    <w:rsid w:val="0006042A"/>
    <w:rsid w:val="00060436"/>
    <w:rsid w:val="00061FE1"/>
    <w:rsid w:val="00061FFE"/>
    <w:rsid w:val="000624D3"/>
    <w:rsid w:val="0006334C"/>
    <w:rsid w:val="0006406C"/>
    <w:rsid w:val="000640C8"/>
    <w:rsid w:val="00064C41"/>
    <w:rsid w:val="00064EC3"/>
    <w:rsid w:val="0006528C"/>
    <w:rsid w:val="00065355"/>
    <w:rsid w:val="00065B68"/>
    <w:rsid w:val="00065E58"/>
    <w:rsid w:val="00066D80"/>
    <w:rsid w:val="00067044"/>
    <w:rsid w:val="00070B54"/>
    <w:rsid w:val="00071360"/>
    <w:rsid w:val="00071414"/>
    <w:rsid w:val="00072C89"/>
    <w:rsid w:val="00072DC4"/>
    <w:rsid w:val="00074791"/>
    <w:rsid w:val="00075905"/>
    <w:rsid w:val="00075A27"/>
    <w:rsid w:val="000818BC"/>
    <w:rsid w:val="00081C9B"/>
    <w:rsid w:val="00081DCC"/>
    <w:rsid w:val="000826E7"/>
    <w:rsid w:val="000842A6"/>
    <w:rsid w:val="00085497"/>
    <w:rsid w:val="0008577F"/>
    <w:rsid w:val="00087387"/>
    <w:rsid w:val="00090005"/>
    <w:rsid w:val="0009067A"/>
    <w:rsid w:val="00090A3B"/>
    <w:rsid w:val="00090F68"/>
    <w:rsid w:val="00091EA2"/>
    <w:rsid w:val="00093076"/>
    <w:rsid w:val="000932CA"/>
    <w:rsid w:val="00093FF9"/>
    <w:rsid w:val="00096A08"/>
    <w:rsid w:val="00096E3D"/>
    <w:rsid w:val="00096F7C"/>
    <w:rsid w:val="0009745C"/>
    <w:rsid w:val="0009768E"/>
    <w:rsid w:val="000A1441"/>
    <w:rsid w:val="000A1ABB"/>
    <w:rsid w:val="000A24F2"/>
    <w:rsid w:val="000A2912"/>
    <w:rsid w:val="000A332E"/>
    <w:rsid w:val="000A396A"/>
    <w:rsid w:val="000A3F73"/>
    <w:rsid w:val="000A41A3"/>
    <w:rsid w:val="000A4632"/>
    <w:rsid w:val="000A7438"/>
    <w:rsid w:val="000A7811"/>
    <w:rsid w:val="000A7FF5"/>
    <w:rsid w:val="000B00B2"/>
    <w:rsid w:val="000B05E3"/>
    <w:rsid w:val="000B133E"/>
    <w:rsid w:val="000B198D"/>
    <w:rsid w:val="000B3407"/>
    <w:rsid w:val="000B3530"/>
    <w:rsid w:val="000B3B88"/>
    <w:rsid w:val="000B3CF8"/>
    <w:rsid w:val="000B52AD"/>
    <w:rsid w:val="000B6067"/>
    <w:rsid w:val="000B6FE7"/>
    <w:rsid w:val="000B7C82"/>
    <w:rsid w:val="000B7D24"/>
    <w:rsid w:val="000C023A"/>
    <w:rsid w:val="000C0B27"/>
    <w:rsid w:val="000C0DE6"/>
    <w:rsid w:val="000C248C"/>
    <w:rsid w:val="000C2B24"/>
    <w:rsid w:val="000C31AA"/>
    <w:rsid w:val="000C36D1"/>
    <w:rsid w:val="000C4042"/>
    <w:rsid w:val="000C5810"/>
    <w:rsid w:val="000C5D64"/>
    <w:rsid w:val="000C5F6A"/>
    <w:rsid w:val="000C77CA"/>
    <w:rsid w:val="000D06BA"/>
    <w:rsid w:val="000D0922"/>
    <w:rsid w:val="000D0C4A"/>
    <w:rsid w:val="000D130E"/>
    <w:rsid w:val="000D158E"/>
    <w:rsid w:val="000D245C"/>
    <w:rsid w:val="000D3A8E"/>
    <w:rsid w:val="000D40C2"/>
    <w:rsid w:val="000D477C"/>
    <w:rsid w:val="000D49B6"/>
    <w:rsid w:val="000D7693"/>
    <w:rsid w:val="000D7950"/>
    <w:rsid w:val="000E057A"/>
    <w:rsid w:val="000E2037"/>
    <w:rsid w:val="000E2D94"/>
    <w:rsid w:val="000E36CC"/>
    <w:rsid w:val="000E4183"/>
    <w:rsid w:val="000E4224"/>
    <w:rsid w:val="000E4BA0"/>
    <w:rsid w:val="000E644C"/>
    <w:rsid w:val="000E666C"/>
    <w:rsid w:val="000E67B0"/>
    <w:rsid w:val="000E6FE2"/>
    <w:rsid w:val="000E7079"/>
    <w:rsid w:val="000E71D7"/>
    <w:rsid w:val="000E7342"/>
    <w:rsid w:val="000F04D7"/>
    <w:rsid w:val="000F07A1"/>
    <w:rsid w:val="000F0E75"/>
    <w:rsid w:val="000F1179"/>
    <w:rsid w:val="000F13B6"/>
    <w:rsid w:val="000F1B37"/>
    <w:rsid w:val="000F2394"/>
    <w:rsid w:val="000F26DC"/>
    <w:rsid w:val="000F2B19"/>
    <w:rsid w:val="000F3037"/>
    <w:rsid w:val="000F3213"/>
    <w:rsid w:val="000F4597"/>
    <w:rsid w:val="000F4D54"/>
    <w:rsid w:val="000F5658"/>
    <w:rsid w:val="000F5FD2"/>
    <w:rsid w:val="00102208"/>
    <w:rsid w:val="00102DE7"/>
    <w:rsid w:val="001035DB"/>
    <w:rsid w:val="00103640"/>
    <w:rsid w:val="0010403B"/>
    <w:rsid w:val="00104197"/>
    <w:rsid w:val="001044BD"/>
    <w:rsid w:val="001061F8"/>
    <w:rsid w:val="00110620"/>
    <w:rsid w:val="00110BBA"/>
    <w:rsid w:val="00110FFE"/>
    <w:rsid w:val="001114B9"/>
    <w:rsid w:val="001126B7"/>
    <w:rsid w:val="00112AC0"/>
    <w:rsid w:val="0011338E"/>
    <w:rsid w:val="001136AF"/>
    <w:rsid w:val="0011395F"/>
    <w:rsid w:val="00113982"/>
    <w:rsid w:val="00113BFC"/>
    <w:rsid w:val="00113E06"/>
    <w:rsid w:val="00113ED0"/>
    <w:rsid w:val="0011504E"/>
    <w:rsid w:val="0011530B"/>
    <w:rsid w:val="00115B9A"/>
    <w:rsid w:val="00116851"/>
    <w:rsid w:val="00121222"/>
    <w:rsid w:val="00121992"/>
    <w:rsid w:val="00121DC0"/>
    <w:rsid w:val="0012219F"/>
    <w:rsid w:val="001227E3"/>
    <w:rsid w:val="00123A74"/>
    <w:rsid w:val="001244FF"/>
    <w:rsid w:val="00124BFE"/>
    <w:rsid w:val="00124C45"/>
    <w:rsid w:val="001258F2"/>
    <w:rsid w:val="001260E7"/>
    <w:rsid w:val="001276D5"/>
    <w:rsid w:val="0013146D"/>
    <w:rsid w:val="001319A6"/>
    <w:rsid w:val="00131E40"/>
    <w:rsid w:val="00132A44"/>
    <w:rsid w:val="001373D4"/>
    <w:rsid w:val="00137702"/>
    <w:rsid w:val="001377DD"/>
    <w:rsid w:val="0014011A"/>
    <w:rsid w:val="001403D9"/>
    <w:rsid w:val="00140B10"/>
    <w:rsid w:val="00141467"/>
    <w:rsid w:val="00141E49"/>
    <w:rsid w:val="00142CBC"/>
    <w:rsid w:val="00143DD4"/>
    <w:rsid w:val="00144231"/>
    <w:rsid w:val="00144405"/>
    <w:rsid w:val="0014546C"/>
    <w:rsid w:val="00146021"/>
    <w:rsid w:val="00146C13"/>
    <w:rsid w:val="00146FFB"/>
    <w:rsid w:val="00147026"/>
    <w:rsid w:val="001473EB"/>
    <w:rsid w:val="0015116F"/>
    <w:rsid w:val="001512D5"/>
    <w:rsid w:val="0015159E"/>
    <w:rsid w:val="001521C4"/>
    <w:rsid w:val="001526E7"/>
    <w:rsid w:val="00153070"/>
    <w:rsid w:val="00153AC1"/>
    <w:rsid w:val="0015554C"/>
    <w:rsid w:val="00155E4D"/>
    <w:rsid w:val="001560ED"/>
    <w:rsid w:val="00160CA7"/>
    <w:rsid w:val="00161225"/>
    <w:rsid w:val="00161807"/>
    <w:rsid w:val="00161D34"/>
    <w:rsid w:val="0016317F"/>
    <w:rsid w:val="00163851"/>
    <w:rsid w:val="00163A5F"/>
    <w:rsid w:val="0016449D"/>
    <w:rsid w:val="00164A44"/>
    <w:rsid w:val="001655C8"/>
    <w:rsid w:val="00167610"/>
    <w:rsid w:val="0017126D"/>
    <w:rsid w:val="00171A35"/>
    <w:rsid w:val="00174569"/>
    <w:rsid w:val="00174DBA"/>
    <w:rsid w:val="001750AD"/>
    <w:rsid w:val="0017661F"/>
    <w:rsid w:val="00177878"/>
    <w:rsid w:val="00177CEB"/>
    <w:rsid w:val="001802AA"/>
    <w:rsid w:val="001805B6"/>
    <w:rsid w:val="00180B23"/>
    <w:rsid w:val="00180D84"/>
    <w:rsid w:val="0018144E"/>
    <w:rsid w:val="00182A9E"/>
    <w:rsid w:val="001832E4"/>
    <w:rsid w:val="00184C02"/>
    <w:rsid w:val="001853DA"/>
    <w:rsid w:val="00185A61"/>
    <w:rsid w:val="00185C2A"/>
    <w:rsid w:val="00186638"/>
    <w:rsid w:val="001867F8"/>
    <w:rsid w:val="001869A1"/>
    <w:rsid w:val="00187E2F"/>
    <w:rsid w:val="00190F1F"/>
    <w:rsid w:val="00191573"/>
    <w:rsid w:val="00192B5F"/>
    <w:rsid w:val="00193EAE"/>
    <w:rsid w:val="001941D4"/>
    <w:rsid w:val="00194AD6"/>
    <w:rsid w:val="00194B6E"/>
    <w:rsid w:val="0019791F"/>
    <w:rsid w:val="00197E0E"/>
    <w:rsid w:val="001A0B5C"/>
    <w:rsid w:val="001A1EAF"/>
    <w:rsid w:val="001A2168"/>
    <w:rsid w:val="001A2F0F"/>
    <w:rsid w:val="001A32C8"/>
    <w:rsid w:val="001A363B"/>
    <w:rsid w:val="001A3E73"/>
    <w:rsid w:val="001A58A5"/>
    <w:rsid w:val="001A58E5"/>
    <w:rsid w:val="001A6636"/>
    <w:rsid w:val="001A69E7"/>
    <w:rsid w:val="001A7230"/>
    <w:rsid w:val="001B08DD"/>
    <w:rsid w:val="001B15D1"/>
    <w:rsid w:val="001B1E0D"/>
    <w:rsid w:val="001B225D"/>
    <w:rsid w:val="001B284C"/>
    <w:rsid w:val="001B28F1"/>
    <w:rsid w:val="001B2F54"/>
    <w:rsid w:val="001B3D89"/>
    <w:rsid w:val="001B423E"/>
    <w:rsid w:val="001B513E"/>
    <w:rsid w:val="001C0129"/>
    <w:rsid w:val="001C0229"/>
    <w:rsid w:val="001C082B"/>
    <w:rsid w:val="001C0DC9"/>
    <w:rsid w:val="001C0F0B"/>
    <w:rsid w:val="001C1539"/>
    <w:rsid w:val="001C1546"/>
    <w:rsid w:val="001C1896"/>
    <w:rsid w:val="001C1A95"/>
    <w:rsid w:val="001C2122"/>
    <w:rsid w:val="001C2DBD"/>
    <w:rsid w:val="001C2E77"/>
    <w:rsid w:val="001C5F05"/>
    <w:rsid w:val="001C61AA"/>
    <w:rsid w:val="001C6C16"/>
    <w:rsid w:val="001C6EDB"/>
    <w:rsid w:val="001C7966"/>
    <w:rsid w:val="001C7B3E"/>
    <w:rsid w:val="001D0966"/>
    <w:rsid w:val="001D0E8E"/>
    <w:rsid w:val="001D140B"/>
    <w:rsid w:val="001D54FF"/>
    <w:rsid w:val="001D578E"/>
    <w:rsid w:val="001D5DAF"/>
    <w:rsid w:val="001E0896"/>
    <w:rsid w:val="001E1B4B"/>
    <w:rsid w:val="001E3E85"/>
    <w:rsid w:val="001E406D"/>
    <w:rsid w:val="001E6F8A"/>
    <w:rsid w:val="001E7903"/>
    <w:rsid w:val="001F0915"/>
    <w:rsid w:val="001F2450"/>
    <w:rsid w:val="001F3299"/>
    <w:rsid w:val="001F384C"/>
    <w:rsid w:val="001F49D3"/>
    <w:rsid w:val="001F515E"/>
    <w:rsid w:val="001F58C1"/>
    <w:rsid w:val="001F6505"/>
    <w:rsid w:val="001F7059"/>
    <w:rsid w:val="001F7374"/>
    <w:rsid w:val="002006B3"/>
    <w:rsid w:val="002007B5"/>
    <w:rsid w:val="00200891"/>
    <w:rsid w:val="00200F08"/>
    <w:rsid w:val="002011A0"/>
    <w:rsid w:val="00201D3C"/>
    <w:rsid w:val="00201FFF"/>
    <w:rsid w:val="00202156"/>
    <w:rsid w:val="00202DC2"/>
    <w:rsid w:val="00203578"/>
    <w:rsid w:val="00203DDB"/>
    <w:rsid w:val="0020494C"/>
    <w:rsid w:val="00204F54"/>
    <w:rsid w:val="00205291"/>
    <w:rsid w:val="00205E6C"/>
    <w:rsid w:val="00206F24"/>
    <w:rsid w:val="00206F94"/>
    <w:rsid w:val="002078B5"/>
    <w:rsid w:val="002105B4"/>
    <w:rsid w:val="00211423"/>
    <w:rsid w:val="00212E4E"/>
    <w:rsid w:val="00212F09"/>
    <w:rsid w:val="0021418A"/>
    <w:rsid w:val="00214309"/>
    <w:rsid w:val="00214376"/>
    <w:rsid w:val="002148DE"/>
    <w:rsid w:val="00214F95"/>
    <w:rsid w:val="002159CC"/>
    <w:rsid w:val="0021620B"/>
    <w:rsid w:val="0021724E"/>
    <w:rsid w:val="00217BB7"/>
    <w:rsid w:val="00217BC7"/>
    <w:rsid w:val="00220444"/>
    <w:rsid w:val="002215F6"/>
    <w:rsid w:val="0022178B"/>
    <w:rsid w:val="00221AEA"/>
    <w:rsid w:val="002221BA"/>
    <w:rsid w:val="002222A9"/>
    <w:rsid w:val="0022269B"/>
    <w:rsid w:val="002227A0"/>
    <w:rsid w:val="0022285B"/>
    <w:rsid w:val="00223A8A"/>
    <w:rsid w:val="002247B5"/>
    <w:rsid w:val="00224F3D"/>
    <w:rsid w:val="00225EF3"/>
    <w:rsid w:val="002265B7"/>
    <w:rsid w:val="0023090F"/>
    <w:rsid w:val="002312DC"/>
    <w:rsid w:val="00231322"/>
    <w:rsid w:val="00231713"/>
    <w:rsid w:val="00233135"/>
    <w:rsid w:val="0023333E"/>
    <w:rsid w:val="00235DE7"/>
    <w:rsid w:val="0023633D"/>
    <w:rsid w:val="00236F42"/>
    <w:rsid w:val="00237D56"/>
    <w:rsid w:val="00237EA1"/>
    <w:rsid w:val="00240494"/>
    <w:rsid w:val="002411C2"/>
    <w:rsid w:val="00241466"/>
    <w:rsid w:val="0024152C"/>
    <w:rsid w:val="00241E37"/>
    <w:rsid w:val="0024225C"/>
    <w:rsid w:val="002426FF"/>
    <w:rsid w:val="002434B0"/>
    <w:rsid w:val="0024461F"/>
    <w:rsid w:val="00245DE5"/>
    <w:rsid w:val="00246652"/>
    <w:rsid w:val="00246A94"/>
    <w:rsid w:val="00246CCA"/>
    <w:rsid w:val="00247AA1"/>
    <w:rsid w:val="0025197A"/>
    <w:rsid w:val="00251E8D"/>
    <w:rsid w:val="0025208A"/>
    <w:rsid w:val="0025225B"/>
    <w:rsid w:val="002529D0"/>
    <w:rsid w:val="0025413C"/>
    <w:rsid w:val="002548F5"/>
    <w:rsid w:val="0025509D"/>
    <w:rsid w:val="00255BB2"/>
    <w:rsid w:val="00255EC4"/>
    <w:rsid w:val="00256134"/>
    <w:rsid w:val="0025710A"/>
    <w:rsid w:val="00257AFE"/>
    <w:rsid w:val="002605FF"/>
    <w:rsid w:val="002606CC"/>
    <w:rsid w:val="00260E15"/>
    <w:rsid w:val="00260F25"/>
    <w:rsid w:val="00262391"/>
    <w:rsid w:val="0026275B"/>
    <w:rsid w:val="002631B3"/>
    <w:rsid w:val="00263320"/>
    <w:rsid w:val="00263BAA"/>
    <w:rsid w:val="00264344"/>
    <w:rsid w:val="00264E69"/>
    <w:rsid w:val="002656EE"/>
    <w:rsid w:val="00265C86"/>
    <w:rsid w:val="0026640B"/>
    <w:rsid w:val="002670F3"/>
    <w:rsid w:val="00267C08"/>
    <w:rsid w:val="002701CC"/>
    <w:rsid w:val="00270238"/>
    <w:rsid w:val="00270EC7"/>
    <w:rsid w:val="00271949"/>
    <w:rsid w:val="00271D71"/>
    <w:rsid w:val="00272799"/>
    <w:rsid w:val="00272965"/>
    <w:rsid w:val="00272D1C"/>
    <w:rsid w:val="0027331D"/>
    <w:rsid w:val="002734E6"/>
    <w:rsid w:val="0027376C"/>
    <w:rsid w:val="0027377C"/>
    <w:rsid w:val="002737D1"/>
    <w:rsid w:val="00273E07"/>
    <w:rsid w:val="00274FE5"/>
    <w:rsid w:val="0027597F"/>
    <w:rsid w:val="00275DC3"/>
    <w:rsid w:val="002761CF"/>
    <w:rsid w:val="00276A04"/>
    <w:rsid w:val="00277B8E"/>
    <w:rsid w:val="00280063"/>
    <w:rsid w:val="00280529"/>
    <w:rsid w:val="00280C23"/>
    <w:rsid w:val="002813DA"/>
    <w:rsid w:val="00281919"/>
    <w:rsid w:val="00281B5F"/>
    <w:rsid w:val="00282319"/>
    <w:rsid w:val="00282904"/>
    <w:rsid w:val="002835CD"/>
    <w:rsid w:val="002845D3"/>
    <w:rsid w:val="002849E2"/>
    <w:rsid w:val="00284F4A"/>
    <w:rsid w:val="00285219"/>
    <w:rsid w:val="00285834"/>
    <w:rsid w:val="0028617D"/>
    <w:rsid w:val="00286E64"/>
    <w:rsid w:val="00290413"/>
    <w:rsid w:val="00290581"/>
    <w:rsid w:val="0029124F"/>
    <w:rsid w:val="00291830"/>
    <w:rsid w:val="00291A72"/>
    <w:rsid w:val="00291E65"/>
    <w:rsid w:val="002932FA"/>
    <w:rsid w:val="002933E1"/>
    <w:rsid w:val="002934EA"/>
    <w:rsid w:val="0029402D"/>
    <w:rsid w:val="00294D11"/>
    <w:rsid w:val="00294EAE"/>
    <w:rsid w:val="002958D6"/>
    <w:rsid w:val="00296036"/>
    <w:rsid w:val="0029689E"/>
    <w:rsid w:val="002968BE"/>
    <w:rsid w:val="00296C2A"/>
    <w:rsid w:val="002A061A"/>
    <w:rsid w:val="002A0E65"/>
    <w:rsid w:val="002A133D"/>
    <w:rsid w:val="002A194A"/>
    <w:rsid w:val="002A40B8"/>
    <w:rsid w:val="002A4B13"/>
    <w:rsid w:val="002A5926"/>
    <w:rsid w:val="002A78DA"/>
    <w:rsid w:val="002B033D"/>
    <w:rsid w:val="002B104F"/>
    <w:rsid w:val="002B2AC5"/>
    <w:rsid w:val="002B319C"/>
    <w:rsid w:val="002B32CF"/>
    <w:rsid w:val="002B59E5"/>
    <w:rsid w:val="002B6910"/>
    <w:rsid w:val="002B6CFB"/>
    <w:rsid w:val="002C02AC"/>
    <w:rsid w:val="002C07CD"/>
    <w:rsid w:val="002C0889"/>
    <w:rsid w:val="002C0BC8"/>
    <w:rsid w:val="002C0FDA"/>
    <w:rsid w:val="002C2633"/>
    <w:rsid w:val="002C2B63"/>
    <w:rsid w:val="002C2F6E"/>
    <w:rsid w:val="002C35DA"/>
    <w:rsid w:val="002C4121"/>
    <w:rsid w:val="002C499D"/>
    <w:rsid w:val="002C4D45"/>
    <w:rsid w:val="002C5B71"/>
    <w:rsid w:val="002C5F58"/>
    <w:rsid w:val="002C6763"/>
    <w:rsid w:val="002C78E2"/>
    <w:rsid w:val="002C7961"/>
    <w:rsid w:val="002D08D2"/>
    <w:rsid w:val="002D13C1"/>
    <w:rsid w:val="002D1577"/>
    <w:rsid w:val="002D21B2"/>
    <w:rsid w:val="002D295A"/>
    <w:rsid w:val="002D2E45"/>
    <w:rsid w:val="002D324B"/>
    <w:rsid w:val="002D4AD2"/>
    <w:rsid w:val="002D557E"/>
    <w:rsid w:val="002D597B"/>
    <w:rsid w:val="002D6C49"/>
    <w:rsid w:val="002D7C2C"/>
    <w:rsid w:val="002E00E0"/>
    <w:rsid w:val="002E1080"/>
    <w:rsid w:val="002E15FD"/>
    <w:rsid w:val="002E1B5E"/>
    <w:rsid w:val="002E1CB9"/>
    <w:rsid w:val="002E32D6"/>
    <w:rsid w:val="002E387E"/>
    <w:rsid w:val="002E4526"/>
    <w:rsid w:val="002E4B5E"/>
    <w:rsid w:val="002E4BD1"/>
    <w:rsid w:val="002E7409"/>
    <w:rsid w:val="002F035C"/>
    <w:rsid w:val="002F038C"/>
    <w:rsid w:val="002F1A92"/>
    <w:rsid w:val="002F1C7E"/>
    <w:rsid w:val="002F1EE1"/>
    <w:rsid w:val="002F1F96"/>
    <w:rsid w:val="002F4E62"/>
    <w:rsid w:val="002F580A"/>
    <w:rsid w:val="002F683C"/>
    <w:rsid w:val="002F68E7"/>
    <w:rsid w:val="002F6CB2"/>
    <w:rsid w:val="002F7762"/>
    <w:rsid w:val="002F7BDB"/>
    <w:rsid w:val="002F7F72"/>
    <w:rsid w:val="00300246"/>
    <w:rsid w:val="00300974"/>
    <w:rsid w:val="003014DB"/>
    <w:rsid w:val="0030167C"/>
    <w:rsid w:val="0030210A"/>
    <w:rsid w:val="00302124"/>
    <w:rsid w:val="0030281F"/>
    <w:rsid w:val="0030292A"/>
    <w:rsid w:val="00302B82"/>
    <w:rsid w:val="00302E29"/>
    <w:rsid w:val="003030F5"/>
    <w:rsid w:val="003035BF"/>
    <w:rsid w:val="0030377D"/>
    <w:rsid w:val="00304523"/>
    <w:rsid w:val="00305A18"/>
    <w:rsid w:val="0030610E"/>
    <w:rsid w:val="00307726"/>
    <w:rsid w:val="003113A5"/>
    <w:rsid w:val="00311599"/>
    <w:rsid w:val="00312283"/>
    <w:rsid w:val="003124CA"/>
    <w:rsid w:val="00313340"/>
    <w:rsid w:val="00314488"/>
    <w:rsid w:val="00314FC1"/>
    <w:rsid w:val="0031604F"/>
    <w:rsid w:val="003163D7"/>
    <w:rsid w:val="0031699C"/>
    <w:rsid w:val="003176CF"/>
    <w:rsid w:val="00320568"/>
    <w:rsid w:val="00320677"/>
    <w:rsid w:val="0032155A"/>
    <w:rsid w:val="00321A2A"/>
    <w:rsid w:val="00321BED"/>
    <w:rsid w:val="00321E74"/>
    <w:rsid w:val="00321FAD"/>
    <w:rsid w:val="00322743"/>
    <w:rsid w:val="003243DE"/>
    <w:rsid w:val="0032441D"/>
    <w:rsid w:val="00324762"/>
    <w:rsid w:val="00324906"/>
    <w:rsid w:val="00326A31"/>
    <w:rsid w:val="00327A42"/>
    <w:rsid w:val="003307D0"/>
    <w:rsid w:val="00330984"/>
    <w:rsid w:val="00330B2E"/>
    <w:rsid w:val="003314F6"/>
    <w:rsid w:val="003319E7"/>
    <w:rsid w:val="00331E73"/>
    <w:rsid w:val="00332007"/>
    <w:rsid w:val="0033289D"/>
    <w:rsid w:val="00333D12"/>
    <w:rsid w:val="00333F75"/>
    <w:rsid w:val="00334B5F"/>
    <w:rsid w:val="00335944"/>
    <w:rsid w:val="00335AAB"/>
    <w:rsid w:val="00335F94"/>
    <w:rsid w:val="003376CD"/>
    <w:rsid w:val="00337712"/>
    <w:rsid w:val="00340513"/>
    <w:rsid w:val="00340844"/>
    <w:rsid w:val="00340C14"/>
    <w:rsid w:val="00342588"/>
    <w:rsid w:val="00342B93"/>
    <w:rsid w:val="00342F91"/>
    <w:rsid w:val="00344DCF"/>
    <w:rsid w:val="003455E5"/>
    <w:rsid w:val="00346FB4"/>
    <w:rsid w:val="003500E0"/>
    <w:rsid w:val="003502DA"/>
    <w:rsid w:val="00350537"/>
    <w:rsid w:val="00351C0F"/>
    <w:rsid w:val="00351CF4"/>
    <w:rsid w:val="00351F00"/>
    <w:rsid w:val="00352622"/>
    <w:rsid w:val="003526A9"/>
    <w:rsid w:val="00352743"/>
    <w:rsid w:val="00353C94"/>
    <w:rsid w:val="0035447F"/>
    <w:rsid w:val="0035559B"/>
    <w:rsid w:val="00355805"/>
    <w:rsid w:val="003560CF"/>
    <w:rsid w:val="00356C66"/>
    <w:rsid w:val="00357827"/>
    <w:rsid w:val="00357A07"/>
    <w:rsid w:val="00357B9B"/>
    <w:rsid w:val="00360B8B"/>
    <w:rsid w:val="00360B98"/>
    <w:rsid w:val="0036166A"/>
    <w:rsid w:val="00362656"/>
    <w:rsid w:val="00362A42"/>
    <w:rsid w:val="00362F09"/>
    <w:rsid w:val="00362F21"/>
    <w:rsid w:val="00363E23"/>
    <w:rsid w:val="0036475D"/>
    <w:rsid w:val="00364FAC"/>
    <w:rsid w:val="003650DB"/>
    <w:rsid w:val="003659CB"/>
    <w:rsid w:val="00366465"/>
    <w:rsid w:val="00366579"/>
    <w:rsid w:val="003667E8"/>
    <w:rsid w:val="0036772E"/>
    <w:rsid w:val="003701F5"/>
    <w:rsid w:val="00370326"/>
    <w:rsid w:val="0037122C"/>
    <w:rsid w:val="003717C7"/>
    <w:rsid w:val="00372158"/>
    <w:rsid w:val="0037298D"/>
    <w:rsid w:val="003732C5"/>
    <w:rsid w:val="00373D94"/>
    <w:rsid w:val="0037469C"/>
    <w:rsid w:val="00374937"/>
    <w:rsid w:val="00374AED"/>
    <w:rsid w:val="00375900"/>
    <w:rsid w:val="00375EC9"/>
    <w:rsid w:val="00376602"/>
    <w:rsid w:val="00376672"/>
    <w:rsid w:val="00377AF1"/>
    <w:rsid w:val="00380157"/>
    <w:rsid w:val="00380893"/>
    <w:rsid w:val="003808EF"/>
    <w:rsid w:val="00382FB3"/>
    <w:rsid w:val="003837BF"/>
    <w:rsid w:val="00383DB9"/>
    <w:rsid w:val="00383FD9"/>
    <w:rsid w:val="00384809"/>
    <w:rsid w:val="0038705A"/>
    <w:rsid w:val="003871A8"/>
    <w:rsid w:val="00387816"/>
    <w:rsid w:val="00387C68"/>
    <w:rsid w:val="00387DD5"/>
    <w:rsid w:val="003913F0"/>
    <w:rsid w:val="00394B8A"/>
    <w:rsid w:val="00395600"/>
    <w:rsid w:val="0039608E"/>
    <w:rsid w:val="003966CC"/>
    <w:rsid w:val="00396A14"/>
    <w:rsid w:val="00397527"/>
    <w:rsid w:val="003A05A6"/>
    <w:rsid w:val="003A0A2F"/>
    <w:rsid w:val="003A1535"/>
    <w:rsid w:val="003A17F4"/>
    <w:rsid w:val="003A2A59"/>
    <w:rsid w:val="003A2ED4"/>
    <w:rsid w:val="003A4384"/>
    <w:rsid w:val="003A47D5"/>
    <w:rsid w:val="003A48CC"/>
    <w:rsid w:val="003A4C1A"/>
    <w:rsid w:val="003A4C42"/>
    <w:rsid w:val="003A66D2"/>
    <w:rsid w:val="003A696E"/>
    <w:rsid w:val="003A6A3F"/>
    <w:rsid w:val="003A6B7A"/>
    <w:rsid w:val="003B0184"/>
    <w:rsid w:val="003B177F"/>
    <w:rsid w:val="003B1CAE"/>
    <w:rsid w:val="003B3079"/>
    <w:rsid w:val="003B457F"/>
    <w:rsid w:val="003B4BAF"/>
    <w:rsid w:val="003B5943"/>
    <w:rsid w:val="003B5A24"/>
    <w:rsid w:val="003B5DD0"/>
    <w:rsid w:val="003B708B"/>
    <w:rsid w:val="003B7A3A"/>
    <w:rsid w:val="003C0227"/>
    <w:rsid w:val="003C0BC8"/>
    <w:rsid w:val="003C1378"/>
    <w:rsid w:val="003C1681"/>
    <w:rsid w:val="003C1862"/>
    <w:rsid w:val="003C2894"/>
    <w:rsid w:val="003C2B24"/>
    <w:rsid w:val="003C39DB"/>
    <w:rsid w:val="003C410F"/>
    <w:rsid w:val="003C4C1B"/>
    <w:rsid w:val="003C6220"/>
    <w:rsid w:val="003C73AC"/>
    <w:rsid w:val="003D34D4"/>
    <w:rsid w:val="003D4DE2"/>
    <w:rsid w:val="003D5386"/>
    <w:rsid w:val="003D549A"/>
    <w:rsid w:val="003D6411"/>
    <w:rsid w:val="003D6AD1"/>
    <w:rsid w:val="003D6B39"/>
    <w:rsid w:val="003E0178"/>
    <w:rsid w:val="003E0296"/>
    <w:rsid w:val="003E18CF"/>
    <w:rsid w:val="003E3DDD"/>
    <w:rsid w:val="003E5B11"/>
    <w:rsid w:val="003E5FD4"/>
    <w:rsid w:val="003E6285"/>
    <w:rsid w:val="003E6501"/>
    <w:rsid w:val="003E6747"/>
    <w:rsid w:val="003E6929"/>
    <w:rsid w:val="003E7481"/>
    <w:rsid w:val="003F0E69"/>
    <w:rsid w:val="003F169E"/>
    <w:rsid w:val="003F1B16"/>
    <w:rsid w:val="003F30A5"/>
    <w:rsid w:val="003F4088"/>
    <w:rsid w:val="003F4D1D"/>
    <w:rsid w:val="003F54D8"/>
    <w:rsid w:val="003F77D9"/>
    <w:rsid w:val="003F78FB"/>
    <w:rsid w:val="003F7D61"/>
    <w:rsid w:val="003F7FD6"/>
    <w:rsid w:val="00401670"/>
    <w:rsid w:val="004030E1"/>
    <w:rsid w:val="0040451B"/>
    <w:rsid w:val="0040455C"/>
    <w:rsid w:val="00404C1C"/>
    <w:rsid w:val="004059FE"/>
    <w:rsid w:val="004067EA"/>
    <w:rsid w:val="004117A7"/>
    <w:rsid w:val="00411942"/>
    <w:rsid w:val="00411A30"/>
    <w:rsid w:val="00411F39"/>
    <w:rsid w:val="00412C62"/>
    <w:rsid w:val="0041360E"/>
    <w:rsid w:val="00414151"/>
    <w:rsid w:val="0041454B"/>
    <w:rsid w:val="00414943"/>
    <w:rsid w:val="00415B9F"/>
    <w:rsid w:val="00416CE4"/>
    <w:rsid w:val="00416DEA"/>
    <w:rsid w:val="00416EE3"/>
    <w:rsid w:val="00420331"/>
    <w:rsid w:val="00420E36"/>
    <w:rsid w:val="0042214C"/>
    <w:rsid w:val="004234B3"/>
    <w:rsid w:val="00423E2D"/>
    <w:rsid w:val="0042414B"/>
    <w:rsid w:val="00424A87"/>
    <w:rsid w:val="00424C66"/>
    <w:rsid w:val="004254AC"/>
    <w:rsid w:val="00425777"/>
    <w:rsid w:val="00426DE2"/>
    <w:rsid w:val="004276C6"/>
    <w:rsid w:val="0043014C"/>
    <w:rsid w:val="00430511"/>
    <w:rsid w:val="00431C9D"/>
    <w:rsid w:val="0043209F"/>
    <w:rsid w:val="0043488B"/>
    <w:rsid w:val="004357D6"/>
    <w:rsid w:val="00435B26"/>
    <w:rsid w:val="00435D3A"/>
    <w:rsid w:val="00435EF6"/>
    <w:rsid w:val="00436320"/>
    <w:rsid w:val="0043680D"/>
    <w:rsid w:val="0043755C"/>
    <w:rsid w:val="00437DBF"/>
    <w:rsid w:val="00440461"/>
    <w:rsid w:val="004404FA"/>
    <w:rsid w:val="0044194E"/>
    <w:rsid w:val="00442E92"/>
    <w:rsid w:val="00442F79"/>
    <w:rsid w:val="00443731"/>
    <w:rsid w:val="00443F8B"/>
    <w:rsid w:val="00444665"/>
    <w:rsid w:val="004446B2"/>
    <w:rsid w:val="00444F03"/>
    <w:rsid w:val="00445981"/>
    <w:rsid w:val="004463CE"/>
    <w:rsid w:val="004473CC"/>
    <w:rsid w:val="004509A5"/>
    <w:rsid w:val="00450BC2"/>
    <w:rsid w:val="00451107"/>
    <w:rsid w:val="004514E8"/>
    <w:rsid w:val="0045152D"/>
    <w:rsid w:val="004518C9"/>
    <w:rsid w:val="004520E5"/>
    <w:rsid w:val="00452322"/>
    <w:rsid w:val="004524C8"/>
    <w:rsid w:val="00453064"/>
    <w:rsid w:val="004531AF"/>
    <w:rsid w:val="00453475"/>
    <w:rsid w:val="0045415D"/>
    <w:rsid w:val="00454431"/>
    <w:rsid w:val="0045497F"/>
    <w:rsid w:val="004555B7"/>
    <w:rsid w:val="00455A74"/>
    <w:rsid w:val="00455D65"/>
    <w:rsid w:val="00456AA1"/>
    <w:rsid w:val="00457946"/>
    <w:rsid w:val="004600C8"/>
    <w:rsid w:val="0046019D"/>
    <w:rsid w:val="00460C2F"/>
    <w:rsid w:val="00462B32"/>
    <w:rsid w:val="00462BBE"/>
    <w:rsid w:val="0046421E"/>
    <w:rsid w:val="00465658"/>
    <w:rsid w:val="0046589A"/>
    <w:rsid w:val="0046646B"/>
    <w:rsid w:val="0046662A"/>
    <w:rsid w:val="004700E7"/>
    <w:rsid w:val="004713D9"/>
    <w:rsid w:val="00471AB2"/>
    <w:rsid w:val="00472722"/>
    <w:rsid w:val="00472D4E"/>
    <w:rsid w:val="00473774"/>
    <w:rsid w:val="00473A76"/>
    <w:rsid w:val="00473BA5"/>
    <w:rsid w:val="00473BBB"/>
    <w:rsid w:val="0047418B"/>
    <w:rsid w:val="0047725B"/>
    <w:rsid w:val="004777DB"/>
    <w:rsid w:val="004779C4"/>
    <w:rsid w:val="00480581"/>
    <w:rsid w:val="00482825"/>
    <w:rsid w:val="00482BC7"/>
    <w:rsid w:val="00482EA9"/>
    <w:rsid w:val="00483E71"/>
    <w:rsid w:val="00484F1B"/>
    <w:rsid w:val="004852D0"/>
    <w:rsid w:val="00485E1A"/>
    <w:rsid w:val="00486669"/>
    <w:rsid w:val="00486C05"/>
    <w:rsid w:val="0048781C"/>
    <w:rsid w:val="00487C42"/>
    <w:rsid w:val="004907FB"/>
    <w:rsid w:val="004916A3"/>
    <w:rsid w:val="00491A7A"/>
    <w:rsid w:val="00491CC1"/>
    <w:rsid w:val="004926D1"/>
    <w:rsid w:val="0049299C"/>
    <w:rsid w:val="0049301E"/>
    <w:rsid w:val="0049373A"/>
    <w:rsid w:val="0049399F"/>
    <w:rsid w:val="00494A7A"/>
    <w:rsid w:val="004958B1"/>
    <w:rsid w:val="00495A6D"/>
    <w:rsid w:val="00496468"/>
    <w:rsid w:val="00497120"/>
    <w:rsid w:val="00497226"/>
    <w:rsid w:val="004979FC"/>
    <w:rsid w:val="00497CAC"/>
    <w:rsid w:val="00497EFA"/>
    <w:rsid w:val="004A07B9"/>
    <w:rsid w:val="004A1800"/>
    <w:rsid w:val="004A201E"/>
    <w:rsid w:val="004A20B9"/>
    <w:rsid w:val="004A2237"/>
    <w:rsid w:val="004A2EC2"/>
    <w:rsid w:val="004A373D"/>
    <w:rsid w:val="004A3D57"/>
    <w:rsid w:val="004A4424"/>
    <w:rsid w:val="004A4A8C"/>
    <w:rsid w:val="004A5342"/>
    <w:rsid w:val="004A5B6C"/>
    <w:rsid w:val="004A77DE"/>
    <w:rsid w:val="004B0407"/>
    <w:rsid w:val="004B13CF"/>
    <w:rsid w:val="004B190B"/>
    <w:rsid w:val="004B2B1F"/>
    <w:rsid w:val="004B378D"/>
    <w:rsid w:val="004B37DC"/>
    <w:rsid w:val="004B4077"/>
    <w:rsid w:val="004B5619"/>
    <w:rsid w:val="004B5EE9"/>
    <w:rsid w:val="004B609F"/>
    <w:rsid w:val="004B6806"/>
    <w:rsid w:val="004B684E"/>
    <w:rsid w:val="004B6C1C"/>
    <w:rsid w:val="004B6D81"/>
    <w:rsid w:val="004B7305"/>
    <w:rsid w:val="004B7C90"/>
    <w:rsid w:val="004C0707"/>
    <w:rsid w:val="004C093A"/>
    <w:rsid w:val="004C0DA4"/>
    <w:rsid w:val="004C0F05"/>
    <w:rsid w:val="004C144D"/>
    <w:rsid w:val="004C1639"/>
    <w:rsid w:val="004C1929"/>
    <w:rsid w:val="004C215B"/>
    <w:rsid w:val="004C254E"/>
    <w:rsid w:val="004C27E4"/>
    <w:rsid w:val="004C2AD6"/>
    <w:rsid w:val="004C464E"/>
    <w:rsid w:val="004C4E34"/>
    <w:rsid w:val="004C5BFA"/>
    <w:rsid w:val="004C5EB3"/>
    <w:rsid w:val="004C6D30"/>
    <w:rsid w:val="004C75BE"/>
    <w:rsid w:val="004D21B2"/>
    <w:rsid w:val="004D2775"/>
    <w:rsid w:val="004D2782"/>
    <w:rsid w:val="004D3481"/>
    <w:rsid w:val="004D379F"/>
    <w:rsid w:val="004D3DA3"/>
    <w:rsid w:val="004D5C82"/>
    <w:rsid w:val="004D5F96"/>
    <w:rsid w:val="004D72F5"/>
    <w:rsid w:val="004E06A0"/>
    <w:rsid w:val="004E071F"/>
    <w:rsid w:val="004E0C93"/>
    <w:rsid w:val="004E106F"/>
    <w:rsid w:val="004E1098"/>
    <w:rsid w:val="004E1DFF"/>
    <w:rsid w:val="004E220E"/>
    <w:rsid w:val="004E2ECF"/>
    <w:rsid w:val="004E3D58"/>
    <w:rsid w:val="004E431B"/>
    <w:rsid w:val="004E46B2"/>
    <w:rsid w:val="004E4E2C"/>
    <w:rsid w:val="004E5293"/>
    <w:rsid w:val="004E5A83"/>
    <w:rsid w:val="004F08B1"/>
    <w:rsid w:val="004F0B18"/>
    <w:rsid w:val="004F1F47"/>
    <w:rsid w:val="004F26FB"/>
    <w:rsid w:val="004F31BC"/>
    <w:rsid w:val="004F32A2"/>
    <w:rsid w:val="004F4215"/>
    <w:rsid w:val="004F4373"/>
    <w:rsid w:val="004F484A"/>
    <w:rsid w:val="004F4C12"/>
    <w:rsid w:val="004F51D5"/>
    <w:rsid w:val="004F625C"/>
    <w:rsid w:val="00500909"/>
    <w:rsid w:val="005014FB"/>
    <w:rsid w:val="00501697"/>
    <w:rsid w:val="005017E8"/>
    <w:rsid w:val="00502A21"/>
    <w:rsid w:val="00505E91"/>
    <w:rsid w:val="00506987"/>
    <w:rsid w:val="00507B51"/>
    <w:rsid w:val="00510AD1"/>
    <w:rsid w:val="00511B57"/>
    <w:rsid w:val="00511CB7"/>
    <w:rsid w:val="00512150"/>
    <w:rsid w:val="005130CF"/>
    <w:rsid w:val="00513178"/>
    <w:rsid w:val="00513BBF"/>
    <w:rsid w:val="00513C6B"/>
    <w:rsid w:val="00515A38"/>
    <w:rsid w:val="00515E45"/>
    <w:rsid w:val="00517BE2"/>
    <w:rsid w:val="00517F75"/>
    <w:rsid w:val="005214E1"/>
    <w:rsid w:val="00523C46"/>
    <w:rsid w:val="0052406C"/>
    <w:rsid w:val="0052435D"/>
    <w:rsid w:val="00524822"/>
    <w:rsid w:val="00524B00"/>
    <w:rsid w:val="00524D4D"/>
    <w:rsid w:val="005258CF"/>
    <w:rsid w:val="005279B5"/>
    <w:rsid w:val="005306E5"/>
    <w:rsid w:val="00532167"/>
    <w:rsid w:val="00532643"/>
    <w:rsid w:val="00532F9A"/>
    <w:rsid w:val="00533059"/>
    <w:rsid w:val="005330C2"/>
    <w:rsid w:val="00533185"/>
    <w:rsid w:val="0053425E"/>
    <w:rsid w:val="0053470D"/>
    <w:rsid w:val="00535082"/>
    <w:rsid w:val="0053517D"/>
    <w:rsid w:val="005369E6"/>
    <w:rsid w:val="00536CC3"/>
    <w:rsid w:val="00537A0A"/>
    <w:rsid w:val="00537A91"/>
    <w:rsid w:val="00540273"/>
    <w:rsid w:val="00540434"/>
    <w:rsid w:val="005406BE"/>
    <w:rsid w:val="00542E65"/>
    <w:rsid w:val="00542EBE"/>
    <w:rsid w:val="005437C9"/>
    <w:rsid w:val="00543906"/>
    <w:rsid w:val="00543D59"/>
    <w:rsid w:val="00544802"/>
    <w:rsid w:val="00544E4B"/>
    <w:rsid w:val="00545186"/>
    <w:rsid w:val="005451FA"/>
    <w:rsid w:val="0054799D"/>
    <w:rsid w:val="00550417"/>
    <w:rsid w:val="00550AD2"/>
    <w:rsid w:val="00550C75"/>
    <w:rsid w:val="00550D58"/>
    <w:rsid w:val="00551592"/>
    <w:rsid w:val="005527D0"/>
    <w:rsid w:val="00553871"/>
    <w:rsid w:val="00553F22"/>
    <w:rsid w:val="00553F66"/>
    <w:rsid w:val="00554E75"/>
    <w:rsid w:val="00554F14"/>
    <w:rsid w:val="00555326"/>
    <w:rsid w:val="005553CD"/>
    <w:rsid w:val="00555BAA"/>
    <w:rsid w:val="005579D6"/>
    <w:rsid w:val="005600CE"/>
    <w:rsid w:val="00560BC6"/>
    <w:rsid w:val="0056186E"/>
    <w:rsid w:val="0056196B"/>
    <w:rsid w:val="00563CA8"/>
    <w:rsid w:val="005641F8"/>
    <w:rsid w:val="00564F47"/>
    <w:rsid w:val="005654B8"/>
    <w:rsid w:val="00565E58"/>
    <w:rsid w:val="00566CA2"/>
    <w:rsid w:val="0056703E"/>
    <w:rsid w:val="00567280"/>
    <w:rsid w:val="005673E6"/>
    <w:rsid w:val="005702B3"/>
    <w:rsid w:val="00570ACB"/>
    <w:rsid w:val="00570CC9"/>
    <w:rsid w:val="0057161C"/>
    <w:rsid w:val="00571C5A"/>
    <w:rsid w:val="005720B2"/>
    <w:rsid w:val="005731FA"/>
    <w:rsid w:val="00573332"/>
    <w:rsid w:val="005743AF"/>
    <w:rsid w:val="0057456C"/>
    <w:rsid w:val="00574CE7"/>
    <w:rsid w:val="00575809"/>
    <w:rsid w:val="00575EA4"/>
    <w:rsid w:val="00575F2C"/>
    <w:rsid w:val="00576B9C"/>
    <w:rsid w:val="00576BCF"/>
    <w:rsid w:val="00576F31"/>
    <w:rsid w:val="00577DEA"/>
    <w:rsid w:val="005807BB"/>
    <w:rsid w:val="005822E6"/>
    <w:rsid w:val="00582F4D"/>
    <w:rsid w:val="0058376D"/>
    <w:rsid w:val="00584051"/>
    <w:rsid w:val="0058427C"/>
    <w:rsid w:val="005860C0"/>
    <w:rsid w:val="0058617F"/>
    <w:rsid w:val="00586389"/>
    <w:rsid w:val="005866A3"/>
    <w:rsid w:val="005868CE"/>
    <w:rsid w:val="00587269"/>
    <w:rsid w:val="00587B68"/>
    <w:rsid w:val="00587CA3"/>
    <w:rsid w:val="00590EE9"/>
    <w:rsid w:val="00591009"/>
    <w:rsid w:val="005911F5"/>
    <w:rsid w:val="005918CD"/>
    <w:rsid w:val="00591E12"/>
    <w:rsid w:val="00592032"/>
    <w:rsid w:val="00592297"/>
    <w:rsid w:val="005923FE"/>
    <w:rsid w:val="005924A9"/>
    <w:rsid w:val="0059286A"/>
    <w:rsid w:val="00592B16"/>
    <w:rsid w:val="00592DAE"/>
    <w:rsid w:val="005934CA"/>
    <w:rsid w:val="0059360F"/>
    <w:rsid w:val="00593B68"/>
    <w:rsid w:val="00593DF6"/>
    <w:rsid w:val="00594E07"/>
    <w:rsid w:val="00594E14"/>
    <w:rsid w:val="00595D61"/>
    <w:rsid w:val="00596CF6"/>
    <w:rsid w:val="00597057"/>
    <w:rsid w:val="00597148"/>
    <w:rsid w:val="0059723C"/>
    <w:rsid w:val="005973F3"/>
    <w:rsid w:val="0059772B"/>
    <w:rsid w:val="00597754"/>
    <w:rsid w:val="005979BA"/>
    <w:rsid w:val="00597A82"/>
    <w:rsid w:val="00597E0E"/>
    <w:rsid w:val="005A003B"/>
    <w:rsid w:val="005A1D5A"/>
    <w:rsid w:val="005A28B0"/>
    <w:rsid w:val="005A2EB5"/>
    <w:rsid w:val="005A2F89"/>
    <w:rsid w:val="005A368A"/>
    <w:rsid w:val="005A398C"/>
    <w:rsid w:val="005A3B70"/>
    <w:rsid w:val="005A3FD8"/>
    <w:rsid w:val="005A4B44"/>
    <w:rsid w:val="005A4E23"/>
    <w:rsid w:val="005A69F0"/>
    <w:rsid w:val="005A7208"/>
    <w:rsid w:val="005A7CEA"/>
    <w:rsid w:val="005B0ED4"/>
    <w:rsid w:val="005B20E6"/>
    <w:rsid w:val="005B2335"/>
    <w:rsid w:val="005B2CEE"/>
    <w:rsid w:val="005B568D"/>
    <w:rsid w:val="005B6AB3"/>
    <w:rsid w:val="005B713C"/>
    <w:rsid w:val="005B77D0"/>
    <w:rsid w:val="005B7AE3"/>
    <w:rsid w:val="005B7CC7"/>
    <w:rsid w:val="005C06FF"/>
    <w:rsid w:val="005C090D"/>
    <w:rsid w:val="005C0BA6"/>
    <w:rsid w:val="005C140C"/>
    <w:rsid w:val="005C1BD9"/>
    <w:rsid w:val="005C1FFD"/>
    <w:rsid w:val="005C2D74"/>
    <w:rsid w:val="005C3310"/>
    <w:rsid w:val="005C36BB"/>
    <w:rsid w:val="005C36C2"/>
    <w:rsid w:val="005C4BD3"/>
    <w:rsid w:val="005C5B33"/>
    <w:rsid w:val="005C78AD"/>
    <w:rsid w:val="005C78CD"/>
    <w:rsid w:val="005D0171"/>
    <w:rsid w:val="005D05C4"/>
    <w:rsid w:val="005D0B27"/>
    <w:rsid w:val="005D0F2A"/>
    <w:rsid w:val="005D144C"/>
    <w:rsid w:val="005D20BD"/>
    <w:rsid w:val="005D30D3"/>
    <w:rsid w:val="005D3E49"/>
    <w:rsid w:val="005D517E"/>
    <w:rsid w:val="005D51AC"/>
    <w:rsid w:val="005D5220"/>
    <w:rsid w:val="005D5853"/>
    <w:rsid w:val="005D68F9"/>
    <w:rsid w:val="005D6E16"/>
    <w:rsid w:val="005D744E"/>
    <w:rsid w:val="005D79A4"/>
    <w:rsid w:val="005E00D6"/>
    <w:rsid w:val="005E0104"/>
    <w:rsid w:val="005E06A4"/>
    <w:rsid w:val="005E1229"/>
    <w:rsid w:val="005E152C"/>
    <w:rsid w:val="005E1ECB"/>
    <w:rsid w:val="005E21CB"/>
    <w:rsid w:val="005E297E"/>
    <w:rsid w:val="005E29B8"/>
    <w:rsid w:val="005E3D7B"/>
    <w:rsid w:val="005E45EA"/>
    <w:rsid w:val="005E5849"/>
    <w:rsid w:val="005E6809"/>
    <w:rsid w:val="005E6BF7"/>
    <w:rsid w:val="005E71AF"/>
    <w:rsid w:val="005E7944"/>
    <w:rsid w:val="005E7FD1"/>
    <w:rsid w:val="005F1C3C"/>
    <w:rsid w:val="005F3C63"/>
    <w:rsid w:val="005F3FA6"/>
    <w:rsid w:val="005F41D6"/>
    <w:rsid w:val="005F575D"/>
    <w:rsid w:val="005F6710"/>
    <w:rsid w:val="005F6F40"/>
    <w:rsid w:val="005F6F9D"/>
    <w:rsid w:val="005F7157"/>
    <w:rsid w:val="006006B1"/>
    <w:rsid w:val="00600A04"/>
    <w:rsid w:val="00601C15"/>
    <w:rsid w:val="00602842"/>
    <w:rsid w:val="00602ECA"/>
    <w:rsid w:val="006032C2"/>
    <w:rsid w:val="006056E6"/>
    <w:rsid w:val="00605F40"/>
    <w:rsid w:val="00606C51"/>
    <w:rsid w:val="00606E89"/>
    <w:rsid w:val="006100E7"/>
    <w:rsid w:val="006108D4"/>
    <w:rsid w:val="00610D1E"/>
    <w:rsid w:val="00611239"/>
    <w:rsid w:val="00612350"/>
    <w:rsid w:val="006126A6"/>
    <w:rsid w:val="006137D0"/>
    <w:rsid w:val="00613AD3"/>
    <w:rsid w:val="00613BEF"/>
    <w:rsid w:val="006148C7"/>
    <w:rsid w:val="006153F0"/>
    <w:rsid w:val="00615745"/>
    <w:rsid w:val="00615780"/>
    <w:rsid w:val="00615B8F"/>
    <w:rsid w:val="00616B57"/>
    <w:rsid w:val="006178B8"/>
    <w:rsid w:val="00617B5D"/>
    <w:rsid w:val="006207F4"/>
    <w:rsid w:val="00621696"/>
    <w:rsid w:val="00622478"/>
    <w:rsid w:val="006225BF"/>
    <w:rsid w:val="00622783"/>
    <w:rsid w:val="00622824"/>
    <w:rsid w:val="00622A4A"/>
    <w:rsid w:val="00622B9F"/>
    <w:rsid w:val="0062345E"/>
    <w:rsid w:val="006235B2"/>
    <w:rsid w:val="00624D74"/>
    <w:rsid w:val="006253F3"/>
    <w:rsid w:val="00625A9B"/>
    <w:rsid w:val="00625C41"/>
    <w:rsid w:val="006266C0"/>
    <w:rsid w:val="00627F01"/>
    <w:rsid w:val="0063084E"/>
    <w:rsid w:val="0063189C"/>
    <w:rsid w:val="00634A06"/>
    <w:rsid w:val="00635636"/>
    <w:rsid w:val="00635D59"/>
    <w:rsid w:val="006361C2"/>
    <w:rsid w:val="00636659"/>
    <w:rsid w:val="00636ACF"/>
    <w:rsid w:val="00636F3C"/>
    <w:rsid w:val="00637185"/>
    <w:rsid w:val="006372F9"/>
    <w:rsid w:val="00637E93"/>
    <w:rsid w:val="0064003C"/>
    <w:rsid w:val="00640E12"/>
    <w:rsid w:val="0064111F"/>
    <w:rsid w:val="006420A9"/>
    <w:rsid w:val="00642B77"/>
    <w:rsid w:val="00642C23"/>
    <w:rsid w:val="00642E5C"/>
    <w:rsid w:val="00644D5B"/>
    <w:rsid w:val="00644DD5"/>
    <w:rsid w:val="00645900"/>
    <w:rsid w:val="006460BC"/>
    <w:rsid w:val="0064729C"/>
    <w:rsid w:val="006474F0"/>
    <w:rsid w:val="006511D1"/>
    <w:rsid w:val="0065190A"/>
    <w:rsid w:val="00651F60"/>
    <w:rsid w:val="00652A1E"/>
    <w:rsid w:val="00652FD7"/>
    <w:rsid w:val="00653546"/>
    <w:rsid w:val="00653817"/>
    <w:rsid w:val="00653892"/>
    <w:rsid w:val="00655EB5"/>
    <w:rsid w:val="00657887"/>
    <w:rsid w:val="0066049B"/>
    <w:rsid w:val="0066078D"/>
    <w:rsid w:val="00660B97"/>
    <w:rsid w:val="00663A8D"/>
    <w:rsid w:val="00664608"/>
    <w:rsid w:val="00664932"/>
    <w:rsid w:val="00664F2D"/>
    <w:rsid w:val="006654FC"/>
    <w:rsid w:val="00666D27"/>
    <w:rsid w:val="00667BF6"/>
    <w:rsid w:val="00667F22"/>
    <w:rsid w:val="0067066A"/>
    <w:rsid w:val="00670E56"/>
    <w:rsid w:val="006711E7"/>
    <w:rsid w:val="00671208"/>
    <w:rsid w:val="006712A4"/>
    <w:rsid w:val="006719C7"/>
    <w:rsid w:val="00671FF5"/>
    <w:rsid w:val="00672107"/>
    <w:rsid w:val="006726B4"/>
    <w:rsid w:val="00672800"/>
    <w:rsid w:val="00672B0E"/>
    <w:rsid w:val="006761C5"/>
    <w:rsid w:val="00676912"/>
    <w:rsid w:val="00677A01"/>
    <w:rsid w:val="006820D6"/>
    <w:rsid w:val="006828B7"/>
    <w:rsid w:val="00682C52"/>
    <w:rsid w:val="006869CC"/>
    <w:rsid w:val="00687AF1"/>
    <w:rsid w:val="00687B2D"/>
    <w:rsid w:val="00690892"/>
    <w:rsid w:val="00690DCC"/>
    <w:rsid w:val="00691BC8"/>
    <w:rsid w:val="006923D9"/>
    <w:rsid w:val="006926DE"/>
    <w:rsid w:val="00692D89"/>
    <w:rsid w:val="00692F61"/>
    <w:rsid w:val="00693AAD"/>
    <w:rsid w:val="00693BA5"/>
    <w:rsid w:val="00694829"/>
    <w:rsid w:val="00694B06"/>
    <w:rsid w:val="0069553E"/>
    <w:rsid w:val="00695689"/>
    <w:rsid w:val="0069637C"/>
    <w:rsid w:val="00697A0A"/>
    <w:rsid w:val="006A125C"/>
    <w:rsid w:val="006A1400"/>
    <w:rsid w:val="006A141B"/>
    <w:rsid w:val="006A1D83"/>
    <w:rsid w:val="006A1FF2"/>
    <w:rsid w:val="006A277E"/>
    <w:rsid w:val="006A3840"/>
    <w:rsid w:val="006A5689"/>
    <w:rsid w:val="006A6176"/>
    <w:rsid w:val="006A61B9"/>
    <w:rsid w:val="006A6531"/>
    <w:rsid w:val="006A6745"/>
    <w:rsid w:val="006A6A3A"/>
    <w:rsid w:val="006B019D"/>
    <w:rsid w:val="006B4359"/>
    <w:rsid w:val="006B5635"/>
    <w:rsid w:val="006B6057"/>
    <w:rsid w:val="006B7334"/>
    <w:rsid w:val="006C156B"/>
    <w:rsid w:val="006C19F7"/>
    <w:rsid w:val="006C24E3"/>
    <w:rsid w:val="006C32AB"/>
    <w:rsid w:val="006C59A6"/>
    <w:rsid w:val="006C5BF8"/>
    <w:rsid w:val="006C61DD"/>
    <w:rsid w:val="006C759A"/>
    <w:rsid w:val="006D021B"/>
    <w:rsid w:val="006D0432"/>
    <w:rsid w:val="006D05CD"/>
    <w:rsid w:val="006D0A93"/>
    <w:rsid w:val="006D0FA0"/>
    <w:rsid w:val="006D1028"/>
    <w:rsid w:val="006D109A"/>
    <w:rsid w:val="006D28F6"/>
    <w:rsid w:val="006D3276"/>
    <w:rsid w:val="006D3B66"/>
    <w:rsid w:val="006D4791"/>
    <w:rsid w:val="006D547A"/>
    <w:rsid w:val="006D55EB"/>
    <w:rsid w:val="006D5667"/>
    <w:rsid w:val="006D5DD0"/>
    <w:rsid w:val="006D705A"/>
    <w:rsid w:val="006E098F"/>
    <w:rsid w:val="006E11FC"/>
    <w:rsid w:val="006E171E"/>
    <w:rsid w:val="006E2165"/>
    <w:rsid w:val="006E22EB"/>
    <w:rsid w:val="006E247A"/>
    <w:rsid w:val="006E2EA4"/>
    <w:rsid w:val="006E3040"/>
    <w:rsid w:val="006E323B"/>
    <w:rsid w:val="006E3C71"/>
    <w:rsid w:val="006E478E"/>
    <w:rsid w:val="006E4CA4"/>
    <w:rsid w:val="006E7132"/>
    <w:rsid w:val="006E74BA"/>
    <w:rsid w:val="006E77DA"/>
    <w:rsid w:val="006E7A7F"/>
    <w:rsid w:val="006E7A98"/>
    <w:rsid w:val="006F11C3"/>
    <w:rsid w:val="006F1B43"/>
    <w:rsid w:val="006F25AB"/>
    <w:rsid w:val="006F2A29"/>
    <w:rsid w:val="006F395C"/>
    <w:rsid w:val="006F3C31"/>
    <w:rsid w:val="006F3C3E"/>
    <w:rsid w:val="006F3F25"/>
    <w:rsid w:val="006F3F6F"/>
    <w:rsid w:val="006F419A"/>
    <w:rsid w:val="006F472D"/>
    <w:rsid w:val="006F47B9"/>
    <w:rsid w:val="006F47ED"/>
    <w:rsid w:val="006F5070"/>
    <w:rsid w:val="006F5464"/>
    <w:rsid w:val="006F5A51"/>
    <w:rsid w:val="006F5E1E"/>
    <w:rsid w:val="006F5FCB"/>
    <w:rsid w:val="006F62BB"/>
    <w:rsid w:val="006F7F68"/>
    <w:rsid w:val="00701654"/>
    <w:rsid w:val="00701D35"/>
    <w:rsid w:val="007020FB"/>
    <w:rsid w:val="007023CD"/>
    <w:rsid w:val="00702574"/>
    <w:rsid w:val="00703206"/>
    <w:rsid w:val="00703B8F"/>
    <w:rsid w:val="00705820"/>
    <w:rsid w:val="00705CC9"/>
    <w:rsid w:val="00707D26"/>
    <w:rsid w:val="00710B35"/>
    <w:rsid w:val="00716003"/>
    <w:rsid w:val="00716380"/>
    <w:rsid w:val="00720DE2"/>
    <w:rsid w:val="007216D3"/>
    <w:rsid w:val="00722E29"/>
    <w:rsid w:val="00723BFC"/>
    <w:rsid w:val="00723C5F"/>
    <w:rsid w:val="00723E19"/>
    <w:rsid w:val="00723E36"/>
    <w:rsid w:val="00723EE7"/>
    <w:rsid w:val="00724992"/>
    <w:rsid w:val="00724DDC"/>
    <w:rsid w:val="0072504B"/>
    <w:rsid w:val="0072585D"/>
    <w:rsid w:val="007259F3"/>
    <w:rsid w:val="00726FAC"/>
    <w:rsid w:val="00727239"/>
    <w:rsid w:val="0072744E"/>
    <w:rsid w:val="007274F0"/>
    <w:rsid w:val="00727D8D"/>
    <w:rsid w:val="00730390"/>
    <w:rsid w:val="0073083B"/>
    <w:rsid w:val="00730931"/>
    <w:rsid w:val="007309BB"/>
    <w:rsid w:val="007310F2"/>
    <w:rsid w:val="00731C08"/>
    <w:rsid w:val="0073239D"/>
    <w:rsid w:val="00732811"/>
    <w:rsid w:val="00732D89"/>
    <w:rsid w:val="007330D3"/>
    <w:rsid w:val="00733E5C"/>
    <w:rsid w:val="00734DA7"/>
    <w:rsid w:val="0073649A"/>
    <w:rsid w:val="00736A33"/>
    <w:rsid w:val="0073728D"/>
    <w:rsid w:val="00737658"/>
    <w:rsid w:val="00737920"/>
    <w:rsid w:val="00737C83"/>
    <w:rsid w:val="00740DE5"/>
    <w:rsid w:val="00741536"/>
    <w:rsid w:val="007419A3"/>
    <w:rsid w:val="00741EC8"/>
    <w:rsid w:val="00742CD3"/>
    <w:rsid w:val="00742FE4"/>
    <w:rsid w:val="00743330"/>
    <w:rsid w:val="00743BA2"/>
    <w:rsid w:val="007461DD"/>
    <w:rsid w:val="00746907"/>
    <w:rsid w:val="00747A52"/>
    <w:rsid w:val="00750D78"/>
    <w:rsid w:val="00750E3D"/>
    <w:rsid w:val="00751908"/>
    <w:rsid w:val="0075586B"/>
    <w:rsid w:val="00756708"/>
    <w:rsid w:val="00756B83"/>
    <w:rsid w:val="00757513"/>
    <w:rsid w:val="007576C4"/>
    <w:rsid w:val="00760427"/>
    <w:rsid w:val="00761560"/>
    <w:rsid w:val="00762CB2"/>
    <w:rsid w:val="007635BA"/>
    <w:rsid w:val="00763C96"/>
    <w:rsid w:val="00763F65"/>
    <w:rsid w:val="00764631"/>
    <w:rsid w:val="00764D6B"/>
    <w:rsid w:val="00765A90"/>
    <w:rsid w:val="00765B7D"/>
    <w:rsid w:val="00765B8F"/>
    <w:rsid w:val="007661BB"/>
    <w:rsid w:val="0076650C"/>
    <w:rsid w:val="00766B9D"/>
    <w:rsid w:val="00767AE9"/>
    <w:rsid w:val="00767B52"/>
    <w:rsid w:val="00771490"/>
    <w:rsid w:val="00771536"/>
    <w:rsid w:val="00771B4C"/>
    <w:rsid w:val="00771B69"/>
    <w:rsid w:val="00771C6F"/>
    <w:rsid w:val="00771D95"/>
    <w:rsid w:val="00771FE2"/>
    <w:rsid w:val="0077314D"/>
    <w:rsid w:val="00773644"/>
    <w:rsid w:val="00773C1C"/>
    <w:rsid w:val="00774B3E"/>
    <w:rsid w:val="0077534C"/>
    <w:rsid w:val="007753F0"/>
    <w:rsid w:val="007758F0"/>
    <w:rsid w:val="00777569"/>
    <w:rsid w:val="007813A8"/>
    <w:rsid w:val="00782BF0"/>
    <w:rsid w:val="007831EF"/>
    <w:rsid w:val="00783AEF"/>
    <w:rsid w:val="00783DA7"/>
    <w:rsid w:val="00784BEF"/>
    <w:rsid w:val="00785A4E"/>
    <w:rsid w:val="00785EA8"/>
    <w:rsid w:val="00786E41"/>
    <w:rsid w:val="00787B77"/>
    <w:rsid w:val="0079043C"/>
    <w:rsid w:val="007905DC"/>
    <w:rsid w:val="007911F0"/>
    <w:rsid w:val="00791C90"/>
    <w:rsid w:val="00791D9F"/>
    <w:rsid w:val="007922AA"/>
    <w:rsid w:val="00792E62"/>
    <w:rsid w:val="00793804"/>
    <w:rsid w:val="00794A4B"/>
    <w:rsid w:val="007951CA"/>
    <w:rsid w:val="00795395"/>
    <w:rsid w:val="00795A73"/>
    <w:rsid w:val="00795C9A"/>
    <w:rsid w:val="00796559"/>
    <w:rsid w:val="007A18D2"/>
    <w:rsid w:val="007A1EC6"/>
    <w:rsid w:val="007A200F"/>
    <w:rsid w:val="007A268C"/>
    <w:rsid w:val="007A3087"/>
    <w:rsid w:val="007A3306"/>
    <w:rsid w:val="007A4916"/>
    <w:rsid w:val="007A60B7"/>
    <w:rsid w:val="007A6824"/>
    <w:rsid w:val="007A6996"/>
    <w:rsid w:val="007A6FF0"/>
    <w:rsid w:val="007B24BD"/>
    <w:rsid w:val="007B28C1"/>
    <w:rsid w:val="007B2DC4"/>
    <w:rsid w:val="007B3561"/>
    <w:rsid w:val="007B46E4"/>
    <w:rsid w:val="007B525F"/>
    <w:rsid w:val="007B5F1F"/>
    <w:rsid w:val="007B6D47"/>
    <w:rsid w:val="007B72E6"/>
    <w:rsid w:val="007B742D"/>
    <w:rsid w:val="007C1FDA"/>
    <w:rsid w:val="007C20A1"/>
    <w:rsid w:val="007C24A5"/>
    <w:rsid w:val="007C3B21"/>
    <w:rsid w:val="007C4563"/>
    <w:rsid w:val="007C492D"/>
    <w:rsid w:val="007C5517"/>
    <w:rsid w:val="007C603A"/>
    <w:rsid w:val="007C615B"/>
    <w:rsid w:val="007C63F4"/>
    <w:rsid w:val="007C76BD"/>
    <w:rsid w:val="007C7848"/>
    <w:rsid w:val="007C7DC3"/>
    <w:rsid w:val="007C7E04"/>
    <w:rsid w:val="007D012C"/>
    <w:rsid w:val="007D0745"/>
    <w:rsid w:val="007D1245"/>
    <w:rsid w:val="007D13C6"/>
    <w:rsid w:val="007D348D"/>
    <w:rsid w:val="007D3841"/>
    <w:rsid w:val="007D41B8"/>
    <w:rsid w:val="007D4B38"/>
    <w:rsid w:val="007D53EB"/>
    <w:rsid w:val="007D555E"/>
    <w:rsid w:val="007D63FA"/>
    <w:rsid w:val="007D68F7"/>
    <w:rsid w:val="007D766A"/>
    <w:rsid w:val="007D77C1"/>
    <w:rsid w:val="007D7FDD"/>
    <w:rsid w:val="007E0604"/>
    <w:rsid w:val="007E0CE2"/>
    <w:rsid w:val="007E0D8B"/>
    <w:rsid w:val="007E15AA"/>
    <w:rsid w:val="007E2018"/>
    <w:rsid w:val="007E2B8C"/>
    <w:rsid w:val="007E4843"/>
    <w:rsid w:val="007E5921"/>
    <w:rsid w:val="007E6276"/>
    <w:rsid w:val="007E7748"/>
    <w:rsid w:val="007E7E1B"/>
    <w:rsid w:val="007F0144"/>
    <w:rsid w:val="007F17CB"/>
    <w:rsid w:val="007F40B8"/>
    <w:rsid w:val="007F47B5"/>
    <w:rsid w:val="007F48E8"/>
    <w:rsid w:val="007F50D4"/>
    <w:rsid w:val="007F5290"/>
    <w:rsid w:val="007F5E5D"/>
    <w:rsid w:val="007F6443"/>
    <w:rsid w:val="007F657D"/>
    <w:rsid w:val="007F6F31"/>
    <w:rsid w:val="007F7F65"/>
    <w:rsid w:val="008009B8"/>
    <w:rsid w:val="00800FE1"/>
    <w:rsid w:val="00802667"/>
    <w:rsid w:val="008044E4"/>
    <w:rsid w:val="00804AB1"/>
    <w:rsid w:val="00805541"/>
    <w:rsid w:val="00806066"/>
    <w:rsid w:val="00806232"/>
    <w:rsid w:val="008067B3"/>
    <w:rsid w:val="00806AA5"/>
    <w:rsid w:val="008071F4"/>
    <w:rsid w:val="008101BD"/>
    <w:rsid w:val="00810EB1"/>
    <w:rsid w:val="008118A2"/>
    <w:rsid w:val="00811F09"/>
    <w:rsid w:val="0081243E"/>
    <w:rsid w:val="00812C70"/>
    <w:rsid w:val="0081367A"/>
    <w:rsid w:val="00813BFB"/>
    <w:rsid w:val="008146E3"/>
    <w:rsid w:val="00814C0C"/>
    <w:rsid w:val="00814ED7"/>
    <w:rsid w:val="00815FFC"/>
    <w:rsid w:val="008168A6"/>
    <w:rsid w:val="00816D6A"/>
    <w:rsid w:val="0081742E"/>
    <w:rsid w:val="00817535"/>
    <w:rsid w:val="008176F0"/>
    <w:rsid w:val="0082041E"/>
    <w:rsid w:val="008207D8"/>
    <w:rsid w:val="00821BFB"/>
    <w:rsid w:val="0082285B"/>
    <w:rsid w:val="008235F9"/>
    <w:rsid w:val="00823F7D"/>
    <w:rsid w:val="00824F08"/>
    <w:rsid w:val="00825ABB"/>
    <w:rsid w:val="00825D61"/>
    <w:rsid w:val="0082640F"/>
    <w:rsid w:val="0082647D"/>
    <w:rsid w:val="008275D6"/>
    <w:rsid w:val="00827781"/>
    <w:rsid w:val="00827B16"/>
    <w:rsid w:val="00827CE0"/>
    <w:rsid w:val="00830E25"/>
    <w:rsid w:val="0083228C"/>
    <w:rsid w:val="00832AF9"/>
    <w:rsid w:val="00832F37"/>
    <w:rsid w:val="008347E1"/>
    <w:rsid w:val="00835A6D"/>
    <w:rsid w:val="00835CEF"/>
    <w:rsid w:val="00835FE4"/>
    <w:rsid w:val="008362CD"/>
    <w:rsid w:val="008364E7"/>
    <w:rsid w:val="0083661E"/>
    <w:rsid w:val="00836F3B"/>
    <w:rsid w:val="00840E75"/>
    <w:rsid w:val="00840E76"/>
    <w:rsid w:val="00840ED1"/>
    <w:rsid w:val="00841282"/>
    <w:rsid w:val="00841668"/>
    <w:rsid w:val="0084191E"/>
    <w:rsid w:val="00841A96"/>
    <w:rsid w:val="00842FFE"/>
    <w:rsid w:val="0084330C"/>
    <w:rsid w:val="008435D6"/>
    <w:rsid w:val="00843E65"/>
    <w:rsid w:val="008440FA"/>
    <w:rsid w:val="00844B4F"/>
    <w:rsid w:val="00844C5D"/>
    <w:rsid w:val="008451BC"/>
    <w:rsid w:val="00845C6C"/>
    <w:rsid w:val="00845E86"/>
    <w:rsid w:val="00846A4C"/>
    <w:rsid w:val="00846A9F"/>
    <w:rsid w:val="008502BC"/>
    <w:rsid w:val="008514D1"/>
    <w:rsid w:val="0085178A"/>
    <w:rsid w:val="00851CC5"/>
    <w:rsid w:val="00851FDA"/>
    <w:rsid w:val="0085274E"/>
    <w:rsid w:val="00853088"/>
    <w:rsid w:val="00853B58"/>
    <w:rsid w:val="0085439A"/>
    <w:rsid w:val="008549D7"/>
    <w:rsid w:val="00854C07"/>
    <w:rsid w:val="008602B1"/>
    <w:rsid w:val="00860476"/>
    <w:rsid w:val="00860731"/>
    <w:rsid w:val="0086097D"/>
    <w:rsid w:val="008616E7"/>
    <w:rsid w:val="00861CFE"/>
    <w:rsid w:val="0086322A"/>
    <w:rsid w:val="00863360"/>
    <w:rsid w:val="00863820"/>
    <w:rsid w:val="0086630B"/>
    <w:rsid w:val="00867BD3"/>
    <w:rsid w:val="008703C2"/>
    <w:rsid w:val="008706B6"/>
    <w:rsid w:val="00870F85"/>
    <w:rsid w:val="00871A21"/>
    <w:rsid w:val="008730B5"/>
    <w:rsid w:val="008733A3"/>
    <w:rsid w:val="008739F0"/>
    <w:rsid w:val="00873D83"/>
    <w:rsid w:val="00875196"/>
    <w:rsid w:val="00876A67"/>
    <w:rsid w:val="00880FCB"/>
    <w:rsid w:val="0088174C"/>
    <w:rsid w:val="00881980"/>
    <w:rsid w:val="0088264A"/>
    <w:rsid w:val="00882890"/>
    <w:rsid w:val="00882F50"/>
    <w:rsid w:val="00883FE8"/>
    <w:rsid w:val="008844C2"/>
    <w:rsid w:val="00884AA8"/>
    <w:rsid w:val="00884B90"/>
    <w:rsid w:val="0088554E"/>
    <w:rsid w:val="00885737"/>
    <w:rsid w:val="0088633E"/>
    <w:rsid w:val="008900FB"/>
    <w:rsid w:val="00890D04"/>
    <w:rsid w:val="00892045"/>
    <w:rsid w:val="008926BE"/>
    <w:rsid w:val="008927B3"/>
    <w:rsid w:val="00892819"/>
    <w:rsid w:val="00892B5F"/>
    <w:rsid w:val="0089307F"/>
    <w:rsid w:val="00894016"/>
    <w:rsid w:val="00894121"/>
    <w:rsid w:val="008945F0"/>
    <w:rsid w:val="00896773"/>
    <w:rsid w:val="00896C3D"/>
    <w:rsid w:val="0089752D"/>
    <w:rsid w:val="00897539"/>
    <w:rsid w:val="008A0F9A"/>
    <w:rsid w:val="008A1E87"/>
    <w:rsid w:val="008A1EB7"/>
    <w:rsid w:val="008A2591"/>
    <w:rsid w:val="008A334C"/>
    <w:rsid w:val="008A3414"/>
    <w:rsid w:val="008A347C"/>
    <w:rsid w:val="008A3AED"/>
    <w:rsid w:val="008A3B00"/>
    <w:rsid w:val="008A47B3"/>
    <w:rsid w:val="008A4A9B"/>
    <w:rsid w:val="008A6931"/>
    <w:rsid w:val="008A6B77"/>
    <w:rsid w:val="008A71EF"/>
    <w:rsid w:val="008A7801"/>
    <w:rsid w:val="008A7C8D"/>
    <w:rsid w:val="008B07BD"/>
    <w:rsid w:val="008B1CD1"/>
    <w:rsid w:val="008B2C96"/>
    <w:rsid w:val="008B2DBE"/>
    <w:rsid w:val="008B2E36"/>
    <w:rsid w:val="008B3B0D"/>
    <w:rsid w:val="008B4AC7"/>
    <w:rsid w:val="008B4D8D"/>
    <w:rsid w:val="008B548A"/>
    <w:rsid w:val="008B5527"/>
    <w:rsid w:val="008B5693"/>
    <w:rsid w:val="008B5CF5"/>
    <w:rsid w:val="008B5DF2"/>
    <w:rsid w:val="008B64C7"/>
    <w:rsid w:val="008B6E94"/>
    <w:rsid w:val="008B757C"/>
    <w:rsid w:val="008B796A"/>
    <w:rsid w:val="008B7D41"/>
    <w:rsid w:val="008C0CC9"/>
    <w:rsid w:val="008C17DD"/>
    <w:rsid w:val="008C30CA"/>
    <w:rsid w:val="008C440A"/>
    <w:rsid w:val="008C51DC"/>
    <w:rsid w:val="008C5304"/>
    <w:rsid w:val="008C5497"/>
    <w:rsid w:val="008C59C5"/>
    <w:rsid w:val="008C5AA1"/>
    <w:rsid w:val="008C5DF4"/>
    <w:rsid w:val="008D00F6"/>
    <w:rsid w:val="008D0443"/>
    <w:rsid w:val="008D0822"/>
    <w:rsid w:val="008D0B68"/>
    <w:rsid w:val="008D2802"/>
    <w:rsid w:val="008D2E3A"/>
    <w:rsid w:val="008D41AE"/>
    <w:rsid w:val="008D5618"/>
    <w:rsid w:val="008D594C"/>
    <w:rsid w:val="008D61CD"/>
    <w:rsid w:val="008D6300"/>
    <w:rsid w:val="008D673D"/>
    <w:rsid w:val="008D6EB2"/>
    <w:rsid w:val="008D7850"/>
    <w:rsid w:val="008D7BDF"/>
    <w:rsid w:val="008E11E7"/>
    <w:rsid w:val="008E1EA6"/>
    <w:rsid w:val="008E38E5"/>
    <w:rsid w:val="008E4E28"/>
    <w:rsid w:val="008E6C0B"/>
    <w:rsid w:val="008F0ADD"/>
    <w:rsid w:val="008F1469"/>
    <w:rsid w:val="008F22A1"/>
    <w:rsid w:val="008F2DAB"/>
    <w:rsid w:val="008F3863"/>
    <w:rsid w:val="008F3A00"/>
    <w:rsid w:val="008F3B5F"/>
    <w:rsid w:val="008F4F15"/>
    <w:rsid w:val="008F5814"/>
    <w:rsid w:val="008F61BD"/>
    <w:rsid w:val="008F798C"/>
    <w:rsid w:val="00900A57"/>
    <w:rsid w:val="00901E35"/>
    <w:rsid w:val="00901FDA"/>
    <w:rsid w:val="00902207"/>
    <w:rsid w:val="00904106"/>
    <w:rsid w:val="0090473E"/>
    <w:rsid w:val="00905192"/>
    <w:rsid w:val="009056C7"/>
    <w:rsid w:val="009068CC"/>
    <w:rsid w:val="00906E7A"/>
    <w:rsid w:val="0090731C"/>
    <w:rsid w:val="00907D44"/>
    <w:rsid w:val="009102F6"/>
    <w:rsid w:val="00910866"/>
    <w:rsid w:val="00911107"/>
    <w:rsid w:val="00911181"/>
    <w:rsid w:val="0091271D"/>
    <w:rsid w:val="00912E7A"/>
    <w:rsid w:val="00914BF0"/>
    <w:rsid w:val="009151C2"/>
    <w:rsid w:val="00916461"/>
    <w:rsid w:val="00921140"/>
    <w:rsid w:val="009216F5"/>
    <w:rsid w:val="00921F7E"/>
    <w:rsid w:val="009229FE"/>
    <w:rsid w:val="00923950"/>
    <w:rsid w:val="00924AF4"/>
    <w:rsid w:val="00925BEE"/>
    <w:rsid w:val="009264AC"/>
    <w:rsid w:val="00927069"/>
    <w:rsid w:val="009273A8"/>
    <w:rsid w:val="009273B5"/>
    <w:rsid w:val="00930CE2"/>
    <w:rsid w:val="00932510"/>
    <w:rsid w:val="009330AE"/>
    <w:rsid w:val="009345EE"/>
    <w:rsid w:val="009346B4"/>
    <w:rsid w:val="00940C73"/>
    <w:rsid w:val="00940DB9"/>
    <w:rsid w:val="00941A59"/>
    <w:rsid w:val="00941C8F"/>
    <w:rsid w:val="0094209B"/>
    <w:rsid w:val="009423C8"/>
    <w:rsid w:val="00942732"/>
    <w:rsid w:val="0094283D"/>
    <w:rsid w:val="0094312E"/>
    <w:rsid w:val="00943218"/>
    <w:rsid w:val="00943F8A"/>
    <w:rsid w:val="009444C8"/>
    <w:rsid w:val="00944A69"/>
    <w:rsid w:val="00944C33"/>
    <w:rsid w:val="00944E1D"/>
    <w:rsid w:val="00946D34"/>
    <w:rsid w:val="00946E39"/>
    <w:rsid w:val="0094719E"/>
    <w:rsid w:val="009473D1"/>
    <w:rsid w:val="009478D6"/>
    <w:rsid w:val="00947A26"/>
    <w:rsid w:val="00950BC9"/>
    <w:rsid w:val="00951CEE"/>
    <w:rsid w:val="00951E3B"/>
    <w:rsid w:val="00951F31"/>
    <w:rsid w:val="0095238E"/>
    <w:rsid w:val="00952F35"/>
    <w:rsid w:val="00952FF7"/>
    <w:rsid w:val="009537E5"/>
    <w:rsid w:val="009540A3"/>
    <w:rsid w:val="0095528A"/>
    <w:rsid w:val="00955480"/>
    <w:rsid w:val="009561B1"/>
    <w:rsid w:val="00956A29"/>
    <w:rsid w:val="009614C7"/>
    <w:rsid w:val="00963869"/>
    <w:rsid w:val="00963BC7"/>
    <w:rsid w:val="00963E75"/>
    <w:rsid w:val="00964014"/>
    <w:rsid w:val="00964189"/>
    <w:rsid w:val="00965262"/>
    <w:rsid w:val="00965C38"/>
    <w:rsid w:val="00970C60"/>
    <w:rsid w:val="00971BC1"/>
    <w:rsid w:val="0097203A"/>
    <w:rsid w:val="0097217D"/>
    <w:rsid w:val="00972C7D"/>
    <w:rsid w:val="00974038"/>
    <w:rsid w:val="00974897"/>
    <w:rsid w:val="00974D1F"/>
    <w:rsid w:val="00975D58"/>
    <w:rsid w:val="00975EB7"/>
    <w:rsid w:val="00975F9B"/>
    <w:rsid w:val="0097613E"/>
    <w:rsid w:val="0097629F"/>
    <w:rsid w:val="00977BAA"/>
    <w:rsid w:val="00980002"/>
    <w:rsid w:val="0098064F"/>
    <w:rsid w:val="00980E58"/>
    <w:rsid w:val="009814EF"/>
    <w:rsid w:val="00981F07"/>
    <w:rsid w:val="0098434D"/>
    <w:rsid w:val="009843D0"/>
    <w:rsid w:val="00984855"/>
    <w:rsid w:val="00984F1E"/>
    <w:rsid w:val="00985675"/>
    <w:rsid w:val="009859A4"/>
    <w:rsid w:val="00986204"/>
    <w:rsid w:val="0098649A"/>
    <w:rsid w:val="00986845"/>
    <w:rsid w:val="00986DD9"/>
    <w:rsid w:val="00986E74"/>
    <w:rsid w:val="00987249"/>
    <w:rsid w:val="009873B9"/>
    <w:rsid w:val="00987F64"/>
    <w:rsid w:val="00990A48"/>
    <w:rsid w:val="00990B64"/>
    <w:rsid w:val="009912A5"/>
    <w:rsid w:val="009913C0"/>
    <w:rsid w:val="009922EC"/>
    <w:rsid w:val="009924B2"/>
    <w:rsid w:val="00992787"/>
    <w:rsid w:val="00992837"/>
    <w:rsid w:val="009929E9"/>
    <w:rsid w:val="00992BB2"/>
    <w:rsid w:val="00993418"/>
    <w:rsid w:val="00993456"/>
    <w:rsid w:val="00993796"/>
    <w:rsid w:val="00993806"/>
    <w:rsid w:val="00993D41"/>
    <w:rsid w:val="00994774"/>
    <w:rsid w:val="0099625B"/>
    <w:rsid w:val="00996D85"/>
    <w:rsid w:val="00997177"/>
    <w:rsid w:val="00997912"/>
    <w:rsid w:val="00997956"/>
    <w:rsid w:val="00997C1B"/>
    <w:rsid w:val="00997C6F"/>
    <w:rsid w:val="009A0EAC"/>
    <w:rsid w:val="009A2A5D"/>
    <w:rsid w:val="009A2AEC"/>
    <w:rsid w:val="009A4EFA"/>
    <w:rsid w:val="009A7384"/>
    <w:rsid w:val="009B2C8A"/>
    <w:rsid w:val="009B3C6A"/>
    <w:rsid w:val="009B53BE"/>
    <w:rsid w:val="009B7EF2"/>
    <w:rsid w:val="009C0CD1"/>
    <w:rsid w:val="009C1458"/>
    <w:rsid w:val="009C2C4F"/>
    <w:rsid w:val="009C2D7E"/>
    <w:rsid w:val="009C313C"/>
    <w:rsid w:val="009C32D5"/>
    <w:rsid w:val="009C4170"/>
    <w:rsid w:val="009C4EEF"/>
    <w:rsid w:val="009C50B9"/>
    <w:rsid w:val="009D047A"/>
    <w:rsid w:val="009D0AD7"/>
    <w:rsid w:val="009D0C08"/>
    <w:rsid w:val="009D1DFD"/>
    <w:rsid w:val="009D20DB"/>
    <w:rsid w:val="009D2DEB"/>
    <w:rsid w:val="009D37A3"/>
    <w:rsid w:val="009D3ACB"/>
    <w:rsid w:val="009D4B0C"/>
    <w:rsid w:val="009D5269"/>
    <w:rsid w:val="009D5582"/>
    <w:rsid w:val="009D79E5"/>
    <w:rsid w:val="009D7AB0"/>
    <w:rsid w:val="009D7D6A"/>
    <w:rsid w:val="009E00EC"/>
    <w:rsid w:val="009E040F"/>
    <w:rsid w:val="009E0FA2"/>
    <w:rsid w:val="009E1001"/>
    <w:rsid w:val="009E1054"/>
    <w:rsid w:val="009E15C9"/>
    <w:rsid w:val="009E2416"/>
    <w:rsid w:val="009E252C"/>
    <w:rsid w:val="009E2B70"/>
    <w:rsid w:val="009E381F"/>
    <w:rsid w:val="009E4062"/>
    <w:rsid w:val="009E49E6"/>
    <w:rsid w:val="009E4E8B"/>
    <w:rsid w:val="009E6022"/>
    <w:rsid w:val="009E616D"/>
    <w:rsid w:val="009E69C2"/>
    <w:rsid w:val="009F03C9"/>
    <w:rsid w:val="009F16E0"/>
    <w:rsid w:val="009F206B"/>
    <w:rsid w:val="009F2E6D"/>
    <w:rsid w:val="009F357D"/>
    <w:rsid w:val="009F3A2F"/>
    <w:rsid w:val="009F45EF"/>
    <w:rsid w:val="009F4C63"/>
    <w:rsid w:val="009F51A3"/>
    <w:rsid w:val="009F5401"/>
    <w:rsid w:val="009F61BC"/>
    <w:rsid w:val="009F6FDE"/>
    <w:rsid w:val="009F7A7D"/>
    <w:rsid w:val="00A00015"/>
    <w:rsid w:val="00A00114"/>
    <w:rsid w:val="00A0109F"/>
    <w:rsid w:val="00A01361"/>
    <w:rsid w:val="00A014C9"/>
    <w:rsid w:val="00A03199"/>
    <w:rsid w:val="00A035F9"/>
    <w:rsid w:val="00A03B35"/>
    <w:rsid w:val="00A04082"/>
    <w:rsid w:val="00A04276"/>
    <w:rsid w:val="00A053C8"/>
    <w:rsid w:val="00A06532"/>
    <w:rsid w:val="00A100B0"/>
    <w:rsid w:val="00A10950"/>
    <w:rsid w:val="00A10C86"/>
    <w:rsid w:val="00A11E94"/>
    <w:rsid w:val="00A126DB"/>
    <w:rsid w:val="00A12BFC"/>
    <w:rsid w:val="00A13387"/>
    <w:rsid w:val="00A13F4C"/>
    <w:rsid w:val="00A13F4D"/>
    <w:rsid w:val="00A1437D"/>
    <w:rsid w:val="00A15456"/>
    <w:rsid w:val="00A15864"/>
    <w:rsid w:val="00A15EF0"/>
    <w:rsid w:val="00A162FC"/>
    <w:rsid w:val="00A165D8"/>
    <w:rsid w:val="00A16F3C"/>
    <w:rsid w:val="00A17A6E"/>
    <w:rsid w:val="00A20872"/>
    <w:rsid w:val="00A209AB"/>
    <w:rsid w:val="00A20E09"/>
    <w:rsid w:val="00A224AA"/>
    <w:rsid w:val="00A22623"/>
    <w:rsid w:val="00A22B7B"/>
    <w:rsid w:val="00A230BB"/>
    <w:rsid w:val="00A23267"/>
    <w:rsid w:val="00A237BE"/>
    <w:rsid w:val="00A25FA8"/>
    <w:rsid w:val="00A261A1"/>
    <w:rsid w:val="00A265D4"/>
    <w:rsid w:val="00A27A7B"/>
    <w:rsid w:val="00A3039F"/>
    <w:rsid w:val="00A30639"/>
    <w:rsid w:val="00A32090"/>
    <w:rsid w:val="00A32F30"/>
    <w:rsid w:val="00A33312"/>
    <w:rsid w:val="00A3375C"/>
    <w:rsid w:val="00A33DBE"/>
    <w:rsid w:val="00A3527A"/>
    <w:rsid w:val="00A35F3A"/>
    <w:rsid w:val="00A365AE"/>
    <w:rsid w:val="00A3717E"/>
    <w:rsid w:val="00A37301"/>
    <w:rsid w:val="00A40328"/>
    <w:rsid w:val="00A411C0"/>
    <w:rsid w:val="00A41B7E"/>
    <w:rsid w:val="00A421F2"/>
    <w:rsid w:val="00A43204"/>
    <w:rsid w:val="00A434C4"/>
    <w:rsid w:val="00A443CC"/>
    <w:rsid w:val="00A445D8"/>
    <w:rsid w:val="00A44CF5"/>
    <w:rsid w:val="00A45812"/>
    <w:rsid w:val="00A45BE7"/>
    <w:rsid w:val="00A50581"/>
    <w:rsid w:val="00A528DD"/>
    <w:rsid w:val="00A529D8"/>
    <w:rsid w:val="00A529F7"/>
    <w:rsid w:val="00A52D1B"/>
    <w:rsid w:val="00A53236"/>
    <w:rsid w:val="00A54931"/>
    <w:rsid w:val="00A55043"/>
    <w:rsid w:val="00A55974"/>
    <w:rsid w:val="00A55AEE"/>
    <w:rsid w:val="00A55EA7"/>
    <w:rsid w:val="00A571ED"/>
    <w:rsid w:val="00A578F8"/>
    <w:rsid w:val="00A57AB0"/>
    <w:rsid w:val="00A57BA6"/>
    <w:rsid w:val="00A6096D"/>
    <w:rsid w:val="00A61C17"/>
    <w:rsid w:val="00A62934"/>
    <w:rsid w:val="00A62A00"/>
    <w:rsid w:val="00A63E74"/>
    <w:rsid w:val="00A641BD"/>
    <w:rsid w:val="00A6499E"/>
    <w:rsid w:val="00A6521E"/>
    <w:rsid w:val="00A67633"/>
    <w:rsid w:val="00A677BE"/>
    <w:rsid w:val="00A67CA8"/>
    <w:rsid w:val="00A7120C"/>
    <w:rsid w:val="00A7181F"/>
    <w:rsid w:val="00A71D82"/>
    <w:rsid w:val="00A73487"/>
    <w:rsid w:val="00A7373B"/>
    <w:rsid w:val="00A73CAD"/>
    <w:rsid w:val="00A743E7"/>
    <w:rsid w:val="00A74D2C"/>
    <w:rsid w:val="00A74EE8"/>
    <w:rsid w:val="00A750B6"/>
    <w:rsid w:val="00A751C5"/>
    <w:rsid w:val="00A75A4B"/>
    <w:rsid w:val="00A76234"/>
    <w:rsid w:val="00A76975"/>
    <w:rsid w:val="00A7714C"/>
    <w:rsid w:val="00A77754"/>
    <w:rsid w:val="00A7788C"/>
    <w:rsid w:val="00A80AB1"/>
    <w:rsid w:val="00A80BA1"/>
    <w:rsid w:val="00A819EB"/>
    <w:rsid w:val="00A830A4"/>
    <w:rsid w:val="00A8321D"/>
    <w:rsid w:val="00A843A1"/>
    <w:rsid w:val="00A843BF"/>
    <w:rsid w:val="00A846ED"/>
    <w:rsid w:val="00A855F8"/>
    <w:rsid w:val="00A85664"/>
    <w:rsid w:val="00A85CA2"/>
    <w:rsid w:val="00A8632A"/>
    <w:rsid w:val="00A864EB"/>
    <w:rsid w:val="00A86FFE"/>
    <w:rsid w:val="00A87536"/>
    <w:rsid w:val="00A901A5"/>
    <w:rsid w:val="00A91610"/>
    <w:rsid w:val="00A91864"/>
    <w:rsid w:val="00A92280"/>
    <w:rsid w:val="00A92526"/>
    <w:rsid w:val="00A92CA7"/>
    <w:rsid w:val="00A92D66"/>
    <w:rsid w:val="00A9302A"/>
    <w:rsid w:val="00A93429"/>
    <w:rsid w:val="00A93A58"/>
    <w:rsid w:val="00A94766"/>
    <w:rsid w:val="00A94C1B"/>
    <w:rsid w:val="00A94FCD"/>
    <w:rsid w:val="00A94FE0"/>
    <w:rsid w:val="00A95106"/>
    <w:rsid w:val="00A956BD"/>
    <w:rsid w:val="00A95E28"/>
    <w:rsid w:val="00A96B89"/>
    <w:rsid w:val="00A96DD8"/>
    <w:rsid w:val="00A97AEA"/>
    <w:rsid w:val="00A97B54"/>
    <w:rsid w:val="00A97E8F"/>
    <w:rsid w:val="00AA1480"/>
    <w:rsid w:val="00AA26E7"/>
    <w:rsid w:val="00AA2A9D"/>
    <w:rsid w:val="00AA2D6B"/>
    <w:rsid w:val="00AA35D9"/>
    <w:rsid w:val="00AA5016"/>
    <w:rsid w:val="00AA5017"/>
    <w:rsid w:val="00AA54F0"/>
    <w:rsid w:val="00AA5910"/>
    <w:rsid w:val="00AA688B"/>
    <w:rsid w:val="00AA6B7A"/>
    <w:rsid w:val="00AA6F63"/>
    <w:rsid w:val="00AB08D1"/>
    <w:rsid w:val="00AB0EEC"/>
    <w:rsid w:val="00AB2093"/>
    <w:rsid w:val="00AB3E38"/>
    <w:rsid w:val="00AB43FD"/>
    <w:rsid w:val="00AB55F5"/>
    <w:rsid w:val="00AB5AA2"/>
    <w:rsid w:val="00AB5AE2"/>
    <w:rsid w:val="00AB5BD3"/>
    <w:rsid w:val="00AB5F69"/>
    <w:rsid w:val="00AB6064"/>
    <w:rsid w:val="00AB62CE"/>
    <w:rsid w:val="00AB6856"/>
    <w:rsid w:val="00AB6E58"/>
    <w:rsid w:val="00AB77F7"/>
    <w:rsid w:val="00AB7E11"/>
    <w:rsid w:val="00AC13F4"/>
    <w:rsid w:val="00AC2975"/>
    <w:rsid w:val="00AC3756"/>
    <w:rsid w:val="00AC420E"/>
    <w:rsid w:val="00AC5065"/>
    <w:rsid w:val="00AC5247"/>
    <w:rsid w:val="00AC57E9"/>
    <w:rsid w:val="00AC645E"/>
    <w:rsid w:val="00AC6EFC"/>
    <w:rsid w:val="00AC717F"/>
    <w:rsid w:val="00AC78FA"/>
    <w:rsid w:val="00AD27AC"/>
    <w:rsid w:val="00AD3835"/>
    <w:rsid w:val="00AD4339"/>
    <w:rsid w:val="00AD4A76"/>
    <w:rsid w:val="00AD5854"/>
    <w:rsid w:val="00AD5936"/>
    <w:rsid w:val="00AD5FBA"/>
    <w:rsid w:val="00AD777A"/>
    <w:rsid w:val="00AE087E"/>
    <w:rsid w:val="00AE0B43"/>
    <w:rsid w:val="00AE1FA1"/>
    <w:rsid w:val="00AE2A92"/>
    <w:rsid w:val="00AE5070"/>
    <w:rsid w:val="00AE52A9"/>
    <w:rsid w:val="00AE63BB"/>
    <w:rsid w:val="00AE73FA"/>
    <w:rsid w:val="00AE75BF"/>
    <w:rsid w:val="00AF0208"/>
    <w:rsid w:val="00AF1251"/>
    <w:rsid w:val="00AF1D7E"/>
    <w:rsid w:val="00AF1DDF"/>
    <w:rsid w:val="00AF247C"/>
    <w:rsid w:val="00AF2746"/>
    <w:rsid w:val="00AF4194"/>
    <w:rsid w:val="00AF4DCB"/>
    <w:rsid w:val="00AF6046"/>
    <w:rsid w:val="00AF6250"/>
    <w:rsid w:val="00AF660D"/>
    <w:rsid w:val="00AF66F4"/>
    <w:rsid w:val="00AF705E"/>
    <w:rsid w:val="00B004A9"/>
    <w:rsid w:val="00B00943"/>
    <w:rsid w:val="00B00BC0"/>
    <w:rsid w:val="00B00BF1"/>
    <w:rsid w:val="00B014EA"/>
    <w:rsid w:val="00B01F26"/>
    <w:rsid w:val="00B025AA"/>
    <w:rsid w:val="00B02D05"/>
    <w:rsid w:val="00B030B3"/>
    <w:rsid w:val="00B030C2"/>
    <w:rsid w:val="00B0371C"/>
    <w:rsid w:val="00B0388F"/>
    <w:rsid w:val="00B04160"/>
    <w:rsid w:val="00B04815"/>
    <w:rsid w:val="00B04C28"/>
    <w:rsid w:val="00B05531"/>
    <w:rsid w:val="00B05B10"/>
    <w:rsid w:val="00B072D9"/>
    <w:rsid w:val="00B076B3"/>
    <w:rsid w:val="00B10565"/>
    <w:rsid w:val="00B1056C"/>
    <w:rsid w:val="00B10E88"/>
    <w:rsid w:val="00B1228D"/>
    <w:rsid w:val="00B124E3"/>
    <w:rsid w:val="00B1292C"/>
    <w:rsid w:val="00B14C34"/>
    <w:rsid w:val="00B155C7"/>
    <w:rsid w:val="00B161EF"/>
    <w:rsid w:val="00B16E4E"/>
    <w:rsid w:val="00B176DF"/>
    <w:rsid w:val="00B17AC8"/>
    <w:rsid w:val="00B20392"/>
    <w:rsid w:val="00B2039E"/>
    <w:rsid w:val="00B2151C"/>
    <w:rsid w:val="00B21C50"/>
    <w:rsid w:val="00B21D6D"/>
    <w:rsid w:val="00B223AB"/>
    <w:rsid w:val="00B2285E"/>
    <w:rsid w:val="00B22B1A"/>
    <w:rsid w:val="00B22C03"/>
    <w:rsid w:val="00B22D68"/>
    <w:rsid w:val="00B22F70"/>
    <w:rsid w:val="00B2385C"/>
    <w:rsid w:val="00B23DC6"/>
    <w:rsid w:val="00B24298"/>
    <w:rsid w:val="00B2432F"/>
    <w:rsid w:val="00B24733"/>
    <w:rsid w:val="00B249E5"/>
    <w:rsid w:val="00B2553B"/>
    <w:rsid w:val="00B25576"/>
    <w:rsid w:val="00B2596D"/>
    <w:rsid w:val="00B259CE"/>
    <w:rsid w:val="00B25EFB"/>
    <w:rsid w:val="00B261CD"/>
    <w:rsid w:val="00B2665C"/>
    <w:rsid w:val="00B26893"/>
    <w:rsid w:val="00B26A6D"/>
    <w:rsid w:val="00B2727B"/>
    <w:rsid w:val="00B30BA3"/>
    <w:rsid w:val="00B30BED"/>
    <w:rsid w:val="00B311D3"/>
    <w:rsid w:val="00B31246"/>
    <w:rsid w:val="00B31837"/>
    <w:rsid w:val="00B318F9"/>
    <w:rsid w:val="00B32669"/>
    <w:rsid w:val="00B337E3"/>
    <w:rsid w:val="00B33C33"/>
    <w:rsid w:val="00B33E07"/>
    <w:rsid w:val="00B3491E"/>
    <w:rsid w:val="00B35091"/>
    <w:rsid w:val="00B357FD"/>
    <w:rsid w:val="00B41D76"/>
    <w:rsid w:val="00B4321A"/>
    <w:rsid w:val="00B432BE"/>
    <w:rsid w:val="00B44CA3"/>
    <w:rsid w:val="00B44F0C"/>
    <w:rsid w:val="00B464F6"/>
    <w:rsid w:val="00B46E23"/>
    <w:rsid w:val="00B470BF"/>
    <w:rsid w:val="00B47EB6"/>
    <w:rsid w:val="00B509E0"/>
    <w:rsid w:val="00B526CA"/>
    <w:rsid w:val="00B526FE"/>
    <w:rsid w:val="00B53D5C"/>
    <w:rsid w:val="00B54103"/>
    <w:rsid w:val="00B5457C"/>
    <w:rsid w:val="00B545A6"/>
    <w:rsid w:val="00B5512A"/>
    <w:rsid w:val="00B559E7"/>
    <w:rsid w:val="00B5679B"/>
    <w:rsid w:val="00B5738E"/>
    <w:rsid w:val="00B57637"/>
    <w:rsid w:val="00B604E0"/>
    <w:rsid w:val="00B61F89"/>
    <w:rsid w:val="00B6233B"/>
    <w:rsid w:val="00B6292F"/>
    <w:rsid w:val="00B6327C"/>
    <w:rsid w:val="00B63579"/>
    <w:rsid w:val="00B65067"/>
    <w:rsid w:val="00B6506C"/>
    <w:rsid w:val="00B65C38"/>
    <w:rsid w:val="00B66512"/>
    <w:rsid w:val="00B668D0"/>
    <w:rsid w:val="00B669F7"/>
    <w:rsid w:val="00B674C5"/>
    <w:rsid w:val="00B67FF3"/>
    <w:rsid w:val="00B7059F"/>
    <w:rsid w:val="00B70A29"/>
    <w:rsid w:val="00B71828"/>
    <w:rsid w:val="00B71F21"/>
    <w:rsid w:val="00B72938"/>
    <w:rsid w:val="00B767E2"/>
    <w:rsid w:val="00B76BB1"/>
    <w:rsid w:val="00B77050"/>
    <w:rsid w:val="00B8003A"/>
    <w:rsid w:val="00B80041"/>
    <w:rsid w:val="00B80D13"/>
    <w:rsid w:val="00B810D7"/>
    <w:rsid w:val="00B813A8"/>
    <w:rsid w:val="00B820EB"/>
    <w:rsid w:val="00B8246D"/>
    <w:rsid w:val="00B82518"/>
    <w:rsid w:val="00B8345C"/>
    <w:rsid w:val="00B8353A"/>
    <w:rsid w:val="00B837DB"/>
    <w:rsid w:val="00B849C9"/>
    <w:rsid w:val="00B84A7B"/>
    <w:rsid w:val="00B84CC5"/>
    <w:rsid w:val="00B84F2D"/>
    <w:rsid w:val="00B8660B"/>
    <w:rsid w:val="00B86E8C"/>
    <w:rsid w:val="00B871CC"/>
    <w:rsid w:val="00B87DAA"/>
    <w:rsid w:val="00B87FD2"/>
    <w:rsid w:val="00B9003E"/>
    <w:rsid w:val="00B91180"/>
    <w:rsid w:val="00B91412"/>
    <w:rsid w:val="00B91919"/>
    <w:rsid w:val="00B92023"/>
    <w:rsid w:val="00B92080"/>
    <w:rsid w:val="00B93074"/>
    <w:rsid w:val="00B93191"/>
    <w:rsid w:val="00B947F9"/>
    <w:rsid w:val="00B94998"/>
    <w:rsid w:val="00B955E1"/>
    <w:rsid w:val="00B955F7"/>
    <w:rsid w:val="00B95AF7"/>
    <w:rsid w:val="00B95E85"/>
    <w:rsid w:val="00B96BEC"/>
    <w:rsid w:val="00B9732B"/>
    <w:rsid w:val="00B97577"/>
    <w:rsid w:val="00B978E5"/>
    <w:rsid w:val="00B9790D"/>
    <w:rsid w:val="00BA0286"/>
    <w:rsid w:val="00BA0846"/>
    <w:rsid w:val="00BA1E57"/>
    <w:rsid w:val="00BA269D"/>
    <w:rsid w:val="00BA2CA9"/>
    <w:rsid w:val="00BA32EC"/>
    <w:rsid w:val="00BA3E30"/>
    <w:rsid w:val="00BA41AC"/>
    <w:rsid w:val="00BA4C27"/>
    <w:rsid w:val="00BA53E2"/>
    <w:rsid w:val="00BA53F3"/>
    <w:rsid w:val="00BA57C9"/>
    <w:rsid w:val="00BA5D5B"/>
    <w:rsid w:val="00BA687C"/>
    <w:rsid w:val="00BA747D"/>
    <w:rsid w:val="00BA7A30"/>
    <w:rsid w:val="00BB08A8"/>
    <w:rsid w:val="00BB0B06"/>
    <w:rsid w:val="00BB1DCB"/>
    <w:rsid w:val="00BB25ED"/>
    <w:rsid w:val="00BB2D81"/>
    <w:rsid w:val="00BB3160"/>
    <w:rsid w:val="00BB3551"/>
    <w:rsid w:val="00BB37B1"/>
    <w:rsid w:val="00BB5736"/>
    <w:rsid w:val="00BB62B6"/>
    <w:rsid w:val="00BB7070"/>
    <w:rsid w:val="00BB76CA"/>
    <w:rsid w:val="00BB77BB"/>
    <w:rsid w:val="00BB78D8"/>
    <w:rsid w:val="00BC0C44"/>
    <w:rsid w:val="00BC189A"/>
    <w:rsid w:val="00BC284F"/>
    <w:rsid w:val="00BC2E60"/>
    <w:rsid w:val="00BC2F19"/>
    <w:rsid w:val="00BC3BDE"/>
    <w:rsid w:val="00BC51CD"/>
    <w:rsid w:val="00BC5421"/>
    <w:rsid w:val="00BC60C3"/>
    <w:rsid w:val="00BC7064"/>
    <w:rsid w:val="00BC7AE5"/>
    <w:rsid w:val="00BD0850"/>
    <w:rsid w:val="00BD08A3"/>
    <w:rsid w:val="00BD21A0"/>
    <w:rsid w:val="00BD298E"/>
    <w:rsid w:val="00BD2A44"/>
    <w:rsid w:val="00BD4312"/>
    <w:rsid w:val="00BD516D"/>
    <w:rsid w:val="00BD51E8"/>
    <w:rsid w:val="00BD6334"/>
    <w:rsid w:val="00BD6848"/>
    <w:rsid w:val="00BD6A5D"/>
    <w:rsid w:val="00BD7E72"/>
    <w:rsid w:val="00BE25E8"/>
    <w:rsid w:val="00BE382C"/>
    <w:rsid w:val="00BE469D"/>
    <w:rsid w:val="00BE51B7"/>
    <w:rsid w:val="00BE5324"/>
    <w:rsid w:val="00BE581D"/>
    <w:rsid w:val="00BE5C9C"/>
    <w:rsid w:val="00BE6895"/>
    <w:rsid w:val="00BE6FA8"/>
    <w:rsid w:val="00BE7954"/>
    <w:rsid w:val="00BF01D8"/>
    <w:rsid w:val="00BF069E"/>
    <w:rsid w:val="00BF1E49"/>
    <w:rsid w:val="00BF2D73"/>
    <w:rsid w:val="00BF2F3E"/>
    <w:rsid w:val="00BF311F"/>
    <w:rsid w:val="00BF3F48"/>
    <w:rsid w:val="00BF5543"/>
    <w:rsid w:val="00BF5550"/>
    <w:rsid w:val="00BF5A7F"/>
    <w:rsid w:val="00BF5C4E"/>
    <w:rsid w:val="00BF60A4"/>
    <w:rsid w:val="00BF7067"/>
    <w:rsid w:val="00BF730E"/>
    <w:rsid w:val="00C0008F"/>
    <w:rsid w:val="00C0012E"/>
    <w:rsid w:val="00C013A1"/>
    <w:rsid w:val="00C01FF9"/>
    <w:rsid w:val="00C02EB3"/>
    <w:rsid w:val="00C03363"/>
    <w:rsid w:val="00C04A88"/>
    <w:rsid w:val="00C04C90"/>
    <w:rsid w:val="00C04CD2"/>
    <w:rsid w:val="00C05870"/>
    <w:rsid w:val="00C05D23"/>
    <w:rsid w:val="00C062B8"/>
    <w:rsid w:val="00C1030B"/>
    <w:rsid w:val="00C103A8"/>
    <w:rsid w:val="00C1064E"/>
    <w:rsid w:val="00C117C2"/>
    <w:rsid w:val="00C119ED"/>
    <w:rsid w:val="00C12046"/>
    <w:rsid w:val="00C135C8"/>
    <w:rsid w:val="00C152A9"/>
    <w:rsid w:val="00C15662"/>
    <w:rsid w:val="00C15E3C"/>
    <w:rsid w:val="00C168FC"/>
    <w:rsid w:val="00C204A9"/>
    <w:rsid w:val="00C20C6A"/>
    <w:rsid w:val="00C245EA"/>
    <w:rsid w:val="00C246F1"/>
    <w:rsid w:val="00C259A1"/>
    <w:rsid w:val="00C25B06"/>
    <w:rsid w:val="00C266E6"/>
    <w:rsid w:val="00C275C4"/>
    <w:rsid w:val="00C27F0E"/>
    <w:rsid w:val="00C27FFC"/>
    <w:rsid w:val="00C30131"/>
    <w:rsid w:val="00C307AA"/>
    <w:rsid w:val="00C30CED"/>
    <w:rsid w:val="00C327B7"/>
    <w:rsid w:val="00C3283F"/>
    <w:rsid w:val="00C33122"/>
    <w:rsid w:val="00C3368E"/>
    <w:rsid w:val="00C3383B"/>
    <w:rsid w:val="00C33A6D"/>
    <w:rsid w:val="00C349C9"/>
    <w:rsid w:val="00C35F20"/>
    <w:rsid w:val="00C36A72"/>
    <w:rsid w:val="00C36FCE"/>
    <w:rsid w:val="00C3723C"/>
    <w:rsid w:val="00C37940"/>
    <w:rsid w:val="00C40642"/>
    <w:rsid w:val="00C4075D"/>
    <w:rsid w:val="00C41300"/>
    <w:rsid w:val="00C41957"/>
    <w:rsid w:val="00C41A8C"/>
    <w:rsid w:val="00C424AE"/>
    <w:rsid w:val="00C43986"/>
    <w:rsid w:val="00C44A4D"/>
    <w:rsid w:val="00C454D3"/>
    <w:rsid w:val="00C45780"/>
    <w:rsid w:val="00C45E8D"/>
    <w:rsid w:val="00C46F88"/>
    <w:rsid w:val="00C476EA"/>
    <w:rsid w:val="00C4780E"/>
    <w:rsid w:val="00C47C38"/>
    <w:rsid w:val="00C47FA0"/>
    <w:rsid w:val="00C502E0"/>
    <w:rsid w:val="00C51DF9"/>
    <w:rsid w:val="00C51FD5"/>
    <w:rsid w:val="00C52FCE"/>
    <w:rsid w:val="00C530CA"/>
    <w:rsid w:val="00C548DF"/>
    <w:rsid w:val="00C55B85"/>
    <w:rsid w:val="00C56BE8"/>
    <w:rsid w:val="00C57515"/>
    <w:rsid w:val="00C5791B"/>
    <w:rsid w:val="00C57E70"/>
    <w:rsid w:val="00C6120F"/>
    <w:rsid w:val="00C62463"/>
    <w:rsid w:val="00C63961"/>
    <w:rsid w:val="00C63B21"/>
    <w:rsid w:val="00C64218"/>
    <w:rsid w:val="00C65B56"/>
    <w:rsid w:val="00C660C5"/>
    <w:rsid w:val="00C66D3C"/>
    <w:rsid w:val="00C67DEC"/>
    <w:rsid w:val="00C70074"/>
    <w:rsid w:val="00C701D5"/>
    <w:rsid w:val="00C708D4"/>
    <w:rsid w:val="00C70932"/>
    <w:rsid w:val="00C71040"/>
    <w:rsid w:val="00C71333"/>
    <w:rsid w:val="00C7176E"/>
    <w:rsid w:val="00C71DC2"/>
    <w:rsid w:val="00C71FF6"/>
    <w:rsid w:val="00C724AA"/>
    <w:rsid w:val="00C72BAB"/>
    <w:rsid w:val="00C72F15"/>
    <w:rsid w:val="00C74047"/>
    <w:rsid w:val="00C74152"/>
    <w:rsid w:val="00C745A2"/>
    <w:rsid w:val="00C74731"/>
    <w:rsid w:val="00C76D01"/>
    <w:rsid w:val="00C779FA"/>
    <w:rsid w:val="00C804C8"/>
    <w:rsid w:val="00C813AE"/>
    <w:rsid w:val="00C82936"/>
    <w:rsid w:val="00C82EAF"/>
    <w:rsid w:val="00C83974"/>
    <w:rsid w:val="00C83B9E"/>
    <w:rsid w:val="00C84FC6"/>
    <w:rsid w:val="00C85242"/>
    <w:rsid w:val="00C85BD1"/>
    <w:rsid w:val="00C85E7D"/>
    <w:rsid w:val="00C86BB1"/>
    <w:rsid w:val="00C86C41"/>
    <w:rsid w:val="00C871F0"/>
    <w:rsid w:val="00C8722C"/>
    <w:rsid w:val="00C90045"/>
    <w:rsid w:val="00C907CB"/>
    <w:rsid w:val="00C90BA7"/>
    <w:rsid w:val="00C91D07"/>
    <w:rsid w:val="00C91F82"/>
    <w:rsid w:val="00C921BD"/>
    <w:rsid w:val="00C92AE6"/>
    <w:rsid w:val="00C934EB"/>
    <w:rsid w:val="00C94CF6"/>
    <w:rsid w:val="00C95563"/>
    <w:rsid w:val="00C9604B"/>
    <w:rsid w:val="00C96375"/>
    <w:rsid w:val="00C978AD"/>
    <w:rsid w:val="00C97C58"/>
    <w:rsid w:val="00CA02FB"/>
    <w:rsid w:val="00CA04BE"/>
    <w:rsid w:val="00CA0EDF"/>
    <w:rsid w:val="00CA21B3"/>
    <w:rsid w:val="00CA35A7"/>
    <w:rsid w:val="00CA3A38"/>
    <w:rsid w:val="00CA465D"/>
    <w:rsid w:val="00CA4E43"/>
    <w:rsid w:val="00CA753D"/>
    <w:rsid w:val="00CA7AD8"/>
    <w:rsid w:val="00CB1601"/>
    <w:rsid w:val="00CB3DA3"/>
    <w:rsid w:val="00CB3DE2"/>
    <w:rsid w:val="00CB40AB"/>
    <w:rsid w:val="00CB451E"/>
    <w:rsid w:val="00CB543B"/>
    <w:rsid w:val="00CB6FAE"/>
    <w:rsid w:val="00CC14A0"/>
    <w:rsid w:val="00CC1638"/>
    <w:rsid w:val="00CC2061"/>
    <w:rsid w:val="00CC36EE"/>
    <w:rsid w:val="00CC3BC8"/>
    <w:rsid w:val="00CC5599"/>
    <w:rsid w:val="00CC60DB"/>
    <w:rsid w:val="00CD12BF"/>
    <w:rsid w:val="00CD17AB"/>
    <w:rsid w:val="00CD184E"/>
    <w:rsid w:val="00CD1E0E"/>
    <w:rsid w:val="00CD2078"/>
    <w:rsid w:val="00CD228A"/>
    <w:rsid w:val="00CD25C7"/>
    <w:rsid w:val="00CD419A"/>
    <w:rsid w:val="00CD46EA"/>
    <w:rsid w:val="00CD522F"/>
    <w:rsid w:val="00CD56E3"/>
    <w:rsid w:val="00CD5983"/>
    <w:rsid w:val="00CD6D28"/>
    <w:rsid w:val="00CD7C60"/>
    <w:rsid w:val="00CE029F"/>
    <w:rsid w:val="00CE02A6"/>
    <w:rsid w:val="00CE059F"/>
    <w:rsid w:val="00CE172A"/>
    <w:rsid w:val="00CE304C"/>
    <w:rsid w:val="00CE305E"/>
    <w:rsid w:val="00CE492E"/>
    <w:rsid w:val="00CE4A21"/>
    <w:rsid w:val="00CE4A89"/>
    <w:rsid w:val="00CE650A"/>
    <w:rsid w:val="00CE6742"/>
    <w:rsid w:val="00CE6F75"/>
    <w:rsid w:val="00CE6F76"/>
    <w:rsid w:val="00CE76CA"/>
    <w:rsid w:val="00CF00E9"/>
    <w:rsid w:val="00CF0428"/>
    <w:rsid w:val="00CF057B"/>
    <w:rsid w:val="00CF073D"/>
    <w:rsid w:val="00CF1B2D"/>
    <w:rsid w:val="00CF1D6E"/>
    <w:rsid w:val="00CF1D8A"/>
    <w:rsid w:val="00CF24FD"/>
    <w:rsid w:val="00CF2D8B"/>
    <w:rsid w:val="00CF304D"/>
    <w:rsid w:val="00CF3B15"/>
    <w:rsid w:val="00CF3EBE"/>
    <w:rsid w:val="00CF4CA8"/>
    <w:rsid w:val="00CF62D0"/>
    <w:rsid w:val="00CF7664"/>
    <w:rsid w:val="00D00058"/>
    <w:rsid w:val="00D029C8"/>
    <w:rsid w:val="00D02E51"/>
    <w:rsid w:val="00D03925"/>
    <w:rsid w:val="00D04595"/>
    <w:rsid w:val="00D05A9A"/>
    <w:rsid w:val="00D07893"/>
    <w:rsid w:val="00D0797E"/>
    <w:rsid w:val="00D11F40"/>
    <w:rsid w:val="00D127EF"/>
    <w:rsid w:val="00D139E9"/>
    <w:rsid w:val="00D13FCD"/>
    <w:rsid w:val="00D13FDD"/>
    <w:rsid w:val="00D14B2E"/>
    <w:rsid w:val="00D14F48"/>
    <w:rsid w:val="00D15109"/>
    <w:rsid w:val="00D15D24"/>
    <w:rsid w:val="00D16329"/>
    <w:rsid w:val="00D17322"/>
    <w:rsid w:val="00D1772C"/>
    <w:rsid w:val="00D20196"/>
    <w:rsid w:val="00D213FF"/>
    <w:rsid w:val="00D223E2"/>
    <w:rsid w:val="00D23ED4"/>
    <w:rsid w:val="00D23F7B"/>
    <w:rsid w:val="00D24438"/>
    <w:rsid w:val="00D24916"/>
    <w:rsid w:val="00D24CDD"/>
    <w:rsid w:val="00D26787"/>
    <w:rsid w:val="00D26C3E"/>
    <w:rsid w:val="00D27F07"/>
    <w:rsid w:val="00D30F2D"/>
    <w:rsid w:val="00D31244"/>
    <w:rsid w:val="00D31308"/>
    <w:rsid w:val="00D3144A"/>
    <w:rsid w:val="00D32079"/>
    <w:rsid w:val="00D323A4"/>
    <w:rsid w:val="00D3272B"/>
    <w:rsid w:val="00D331B1"/>
    <w:rsid w:val="00D333BE"/>
    <w:rsid w:val="00D341D2"/>
    <w:rsid w:val="00D354FD"/>
    <w:rsid w:val="00D36575"/>
    <w:rsid w:val="00D377DD"/>
    <w:rsid w:val="00D37A3B"/>
    <w:rsid w:val="00D37C4B"/>
    <w:rsid w:val="00D40BF8"/>
    <w:rsid w:val="00D41883"/>
    <w:rsid w:val="00D41C01"/>
    <w:rsid w:val="00D41DBA"/>
    <w:rsid w:val="00D41E3A"/>
    <w:rsid w:val="00D42559"/>
    <w:rsid w:val="00D43023"/>
    <w:rsid w:val="00D44599"/>
    <w:rsid w:val="00D45555"/>
    <w:rsid w:val="00D45A24"/>
    <w:rsid w:val="00D466D6"/>
    <w:rsid w:val="00D51874"/>
    <w:rsid w:val="00D52D6C"/>
    <w:rsid w:val="00D5407D"/>
    <w:rsid w:val="00D540C1"/>
    <w:rsid w:val="00D545E5"/>
    <w:rsid w:val="00D550D0"/>
    <w:rsid w:val="00D55DA9"/>
    <w:rsid w:val="00D56AA5"/>
    <w:rsid w:val="00D56B9F"/>
    <w:rsid w:val="00D56BF3"/>
    <w:rsid w:val="00D56D40"/>
    <w:rsid w:val="00D605CA"/>
    <w:rsid w:val="00D609FB"/>
    <w:rsid w:val="00D60CF2"/>
    <w:rsid w:val="00D6101D"/>
    <w:rsid w:val="00D61127"/>
    <w:rsid w:val="00D614FA"/>
    <w:rsid w:val="00D621A6"/>
    <w:rsid w:val="00D629EE"/>
    <w:rsid w:val="00D632FB"/>
    <w:rsid w:val="00D638AC"/>
    <w:rsid w:val="00D640D6"/>
    <w:rsid w:val="00D64B14"/>
    <w:rsid w:val="00D66EBE"/>
    <w:rsid w:val="00D67E4B"/>
    <w:rsid w:val="00D7067E"/>
    <w:rsid w:val="00D70AB6"/>
    <w:rsid w:val="00D72722"/>
    <w:rsid w:val="00D72982"/>
    <w:rsid w:val="00D72DC9"/>
    <w:rsid w:val="00D72FAB"/>
    <w:rsid w:val="00D73553"/>
    <w:rsid w:val="00D740DC"/>
    <w:rsid w:val="00D74648"/>
    <w:rsid w:val="00D747BC"/>
    <w:rsid w:val="00D74ED1"/>
    <w:rsid w:val="00D7545D"/>
    <w:rsid w:val="00D756F2"/>
    <w:rsid w:val="00D75945"/>
    <w:rsid w:val="00D766CF"/>
    <w:rsid w:val="00D76987"/>
    <w:rsid w:val="00D76B6C"/>
    <w:rsid w:val="00D7713C"/>
    <w:rsid w:val="00D80491"/>
    <w:rsid w:val="00D805B3"/>
    <w:rsid w:val="00D81609"/>
    <w:rsid w:val="00D817DF"/>
    <w:rsid w:val="00D8187F"/>
    <w:rsid w:val="00D81FD5"/>
    <w:rsid w:val="00D829C2"/>
    <w:rsid w:val="00D83723"/>
    <w:rsid w:val="00D844A8"/>
    <w:rsid w:val="00D84B05"/>
    <w:rsid w:val="00D85D76"/>
    <w:rsid w:val="00D864D1"/>
    <w:rsid w:val="00D86868"/>
    <w:rsid w:val="00D90B42"/>
    <w:rsid w:val="00D90B9D"/>
    <w:rsid w:val="00D90F31"/>
    <w:rsid w:val="00D91B20"/>
    <w:rsid w:val="00D92116"/>
    <w:rsid w:val="00D93091"/>
    <w:rsid w:val="00D9431E"/>
    <w:rsid w:val="00D94F5D"/>
    <w:rsid w:val="00D959FD"/>
    <w:rsid w:val="00D96655"/>
    <w:rsid w:val="00D972F7"/>
    <w:rsid w:val="00D97766"/>
    <w:rsid w:val="00DA0884"/>
    <w:rsid w:val="00DA14E3"/>
    <w:rsid w:val="00DA1885"/>
    <w:rsid w:val="00DA2632"/>
    <w:rsid w:val="00DA2857"/>
    <w:rsid w:val="00DA2DC5"/>
    <w:rsid w:val="00DA4978"/>
    <w:rsid w:val="00DA5426"/>
    <w:rsid w:val="00DA6087"/>
    <w:rsid w:val="00DA6388"/>
    <w:rsid w:val="00DA6789"/>
    <w:rsid w:val="00DA6A18"/>
    <w:rsid w:val="00DA7D61"/>
    <w:rsid w:val="00DA7F70"/>
    <w:rsid w:val="00DB017B"/>
    <w:rsid w:val="00DB0246"/>
    <w:rsid w:val="00DB0919"/>
    <w:rsid w:val="00DB0D26"/>
    <w:rsid w:val="00DB0F64"/>
    <w:rsid w:val="00DB1043"/>
    <w:rsid w:val="00DB1502"/>
    <w:rsid w:val="00DB1514"/>
    <w:rsid w:val="00DB1B77"/>
    <w:rsid w:val="00DB1D5B"/>
    <w:rsid w:val="00DB2ED7"/>
    <w:rsid w:val="00DB36EB"/>
    <w:rsid w:val="00DB3DD1"/>
    <w:rsid w:val="00DB3FB2"/>
    <w:rsid w:val="00DB423C"/>
    <w:rsid w:val="00DB4FF2"/>
    <w:rsid w:val="00DB72CE"/>
    <w:rsid w:val="00DB7A4C"/>
    <w:rsid w:val="00DB7E72"/>
    <w:rsid w:val="00DC04E6"/>
    <w:rsid w:val="00DC1F90"/>
    <w:rsid w:val="00DC2F9A"/>
    <w:rsid w:val="00DC3202"/>
    <w:rsid w:val="00DC3825"/>
    <w:rsid w:val="00DC39C7"/>
    <w:rsid w:val="00DC3E6F"/>
    <w:rsid w:val="00DC44CC"/>
    <w:rsid w:val="00DC44F3"/>
    <w:rsid w:val="00DC5E6F"/>
    <w:rsid w:val="00DC6290"/>
    <w:rsid w:val="00DC6F2F"/>
    <w:rsid w:val="00DC7185"/>
    <w:rsid w:val="00DC7556"/>
    <w:rsid w:val="00DC7AB4"/>
    <w:rsid w:val="00DC7D7F"/>
    <w:rsid w:val="00DD0D13"/>
    <w:rsid w:val="00DD0E6E"/>
    <w:rsid w:val="00DD1D0B"/>
    <w:rsid w:val="00DD2ABE"/>
    <w:rsid w:val="00DD32F8"/>
    <w:rsid w:val="00DD34EE"/>
    <w:rsid w:val="00DD3E7A"/>
    <w:rsid w:val="00DD606C"/>
    <w:rsid w:val="00DD61F7"/>
    <w:rsid w:val="00DD66D5"/>
    <w:rsid w:val="00DD6F53"/>
    <w:rsid w:val="00DD7731"/>
    <w:rsid w:val="00DD7857"/>
    <w:rsid w:val="00DD7E5C"/>
    <w:rsid w:val="00DE023C"/>
    <w:rsid w:val="00DE05D9"/>
    <w:rsid w:val="00DE092B"/>
    <w:rsid w:val="00DE0947"/>
    <w:rsid w:val="00DE0C63"/>
    <w:rsid w:val="00DE195B"/>
    <w:rsid w:val="00DE1AFB"/>
    <w:rsid w:val="00DE1E38"/>
    <w:rsid w:val="00DE4983"/>
    <w:rsid w:val="00DE4B67"/>
    <w:rsid w:val="00DE4F1A"/>
    <w:rsid w:val="00DE5226"/>
    <w:rsid w:val="00DE53DC"/>
    <w:rsid w:val="00DE5975"/>
    <w:rsid w:val="00DE5C6E"/>
    <w:rsid w:val="00DE6567"/>
    <w:rsid w:val="00DE755B"/>
    <w:rsid w:val="00DF0A76"/>
    <w:rsid w:val="00DF13BE"/>
    <w:rsid w:val="00DF25BE"/>
    <w:rsid w:val="00DF2BF9"/>
    <w:rsid w:val="00DF37D1"/>
    <w:rsid w:val="00DF3E4D"/>
    <w:rsid w:val="00DF5A53"/>
    <w:rsid w:val="00DF6580"/>
    <w:rsid w:val="00DF76F7"/>
    <w:rsid w:val="00DF78DB"/>
    <w:rsid w:val="00E01727"/>
    <w:rsid w:val="00E0245D"/>
    <w:rsid w:val="00E02FC4"/>
    <w:rsid w:val="00E03384"/>
    <w:rsid w:val="00E04912"/>
    <w:rsid w:val="00E04B60"/>
    <w:rsid w:val="00E057E0"/>
    <w:rsid w:val="00E059FB"/>
    <w:rsid w:val="00E05ABB"/>
    <w:rsid w:val="00E1027E"/>
    <w:rsid w:val="00E107A3"/>
    <w:rsid w:val="00E10DD6"/>
    <w:rsid w:val="00E11B8F"/>
    <w:rsid w:val="00E11CBE"/>
    <w:rsid w:val="00E12419"/>
    <w:rsid w:val="00E126E0"/>
    <w:rsid w:val="00E13264"/>
    <w:rsid w:val="00E136E6"/>
    <w:rsid w:val="00E141C6"/>
    <w:rsid w:val="00E142EA"/>
    <w:rsid w:val="00E14397"/>
    <w:rsid w:val="00E14816"/>
    <w:rsid w:val="00E14E1A"/>
    <w:rsid w:val="00E15C96"/>
    <w:rsid w:val="00E15D16"/>
    <w:rsid w:val="00E1728C"/>
    <w:rsid w:val="00E1797D"/>
    <w:rsid w:val="00E207A4"/>
    <w:rsid w:val="00E2164A"/>
    <w:rsid w:val="00E21F35"/>
    <w:rsid w:val="00E23A9E"/>
    <w:rsid w:val="00E23E13"/>
    <w:rsid w:val="00E23E67"/>
    <w:rsid w:val="00E240C6"/>
    <w:rsid w:val="00E2461C"/>
    <w:rsid w:val="00E246B9"/>
    <w:rsid w:val="00E249FC"/>
    <w:rsid w:val="00E24B5F"/>
    <w:rsid w:val="00E25044"/>
    <w:rsid w:val="00E25594"/>
    <w:rsid w:val="00E26247"/>
    <w:rsid w:val="00E26595"/>
    <w:rsid w:val="00E27E1B"/>
    <w:rsid w:val="00E31366"/>
    <w:rsid w:val="00E31AE4"/>
    <w:rsid w:val="00E322A1"/>
    <w:rsid w:val="00E35DA5"/>
    <w:rsid w:val="00E36021"/>
    <w:rsid w:val="00E3656C"/>
    <w:rsid w:val="00E36AF0"/>
    <w:rsid w:val="00E37F83"/>
    <w:rsid w:val="00E40192"/>
    <w:rsid w:val="00E4032E"/>
    <w:rsid w:val="00E41542"/>
    <w:rsid w:val="00E415A4"/>
    <w:rsid w:val="00E41625"/>
    <w:rsid w:val="00E41CAC"/>
    <w:rsid w:val="00E4244D"/>
    <w:rsid w:val="00E446BE"/>
    <w:rsid w:val="00E44B25"/>
    <w:rsid w:val="00E45C91"/>
    <w:rsid w:val="00E45CFD"/>
    <w:rsid w:val="00E46132"/>
    <w:rsid w:val="00E46589"/>
    <w:rsid w:val="00E46914"/>
    <w:rsid w:val="00E46EE2"/>
    <w:rsid w:val="00E50243"/>
    <w:rsid w:val="00E50294"/>
    <w:rsid w:val="00E5094E"/>
    <w:rsid w:val="00E50AB2"/>
    <w:rsid w:val="00E50C71"/>
    <w:rsid w:val="00E51092"/>
    <w:rsid w:val="00E5112B"/>
    <w:rsid w:val="00E51D18"/>
    <w:rsid w:val="00E52082"/>
    <w:rsid w:val="00E52289"/>
    <w:rsid w:val="00E5289D"/>
    <w:rsid w:val="00E52B57"/>
    <w:rsid w:val="00E52DB5"/>
    <w:rsid w:val="00E54170"/>
    <w:rsid w:val="00E54612"/>
    <w:rsid w:val="00E547F4"/>
    <w:rsid w:val="00E549F0"/>
    <w:rsid w:val="00E55F27"/>
    <w:rsid w:val="00E56648"/>
    <w:rsid w:val="00E56804"/>
    <w:rsid w:val="00E5744C"/>
    <w:rsid w:val="00E57964"/>
    <w:rsid w:val="00E605D2"/>
    <w:rsid w:val="00E61B41"/>
    <w:rsid w:val="00E61E5D"/>
    <w:rsid w:val="00E6225E"/>
    <w:rsid w:val="00E6442F"/>
    <w:rsid w:val="00E64648"/>
    <w:rsid w:val="00E668A3"/>
    <w:rsid w:val="00E66B89"/>
    <w:rsid w:val="00E66CD7"/>
    <w:rsid w:val="00E674D6"/>
    <w:rsid w:val="00E67C64"/>
    <w:rsid w:val="00E706A5"/>
    <w:rsid w:val="00E71A61"/>
    <w:rsid w:val="00E72FA6"/>
    <w:rsid w:val="00E737F8"/>
    <w:rsid w:val="00E7485F"/>
    <w:rsid w:val="00E7522B"/>
    <w:rsid w:val="00E759E6"/>
    <w:rsid w:val="00E76048"/>
    <w:rsid w:val="00E76588"/>
    <w:rsid w:val="00E772DE"/>
    <w:rsid w:val="00E77334"/>
    <w:rsid w:val="00E775D6"/>
    <w:rsid w:val="00E807A5"/>
    <w:rsid w:val="00E8084E"/>
    <w:rsid w:val="00E80B30"/>
    <w:rsid w:val="00E80C2A"/>
    <w:rsid w:val="00E82062"/>
    <w:rsid w:val="00E83C03"/>
    <w:rsid w:val="00E85468"/>
    <w:rsid w:val="00E8748B"/>
    <w:rsid w:val="00E87C9C"/>
    <w:rsid w:val="00E9022B"/>
    <w:rsid w:val="00E90525"/>
    <w:rsid w:val="00E90672"/>
    <w:rsid w:val="00E91107"/>
    <w:rsid w:val="00E91638"/>
    <w:rsid w:val="00E922F6"/>
    <w:rsid w:val="00E924D4"/>
    <w:rsid w:val="00E92BC6"/>
    <w:rsid w:val="00E92CCF"/>
    <w:rsid w:val="00E932D3"/>
    <w:rsid w:val="00E9347C"/>
    <w:rsid w:val="00E9457E"/>
    <w:rsid w:val="00E95191"/>
    <w:rsid w:val="00E956AB"/>
    <w:rsid w:val="00E96CAB"/>
    <w:rsid w:val="00E96E9B"/>
    <w:rsid w:val="00E97492"/>
    <w:rsid w:val="00EA0EE3"/>
    <w:rsid w:val="00EA0F80"/>
    <w:rsid w:val="00EA3B1C"/>
    <w:rsid w:val="00EA499F"/>
    <w:rsid w:val="00EA6B69"/>
    <w:rsid w:val="00EB1476"/>
    <w:rsid w:val="00EB1479"/>
    <w:rsid w:val="00EB16FF"/>
    <w:rsid w:val="00EB2A07"/>
    <w:rsid w:val="00EB4FAC"/>
    <w:rsid w:val="00EB51D1"/>
    <w:rsid w:val="00EB54D4"/>
    <w:rsid w:val="00EB7552"/>
    <w:rsid w:val="00EB7899"/>
    <w:rsid w:val="00EC05DA"/>
    <w:rsid w:val="00EC06F9"/>
    <w:rsid w:val="00EC0CB8"/>
    <w:rsid w:val="00EC0D6C"/>
    <w:rsid w:val="00EC1452"/>
    <w:rsid w:val="00EC1787"/>
    <w:rsid w:val="00EC195D"/>
    <w:rsid w:val="00EC29A3"/>
    <w:rsid w:val="00EC2C2E"/>
    <w:rsid w:val="00EC3537"/>
    <w:rsid w:val="00EC3713"/>
    <w:rsid w:val="00EC3D0C"/>
    <w:rsid w:val="00EC4C19"/>
    <w:rsid w:val="00EC5371"/>
    <w:rsid w:val="00EC61CA"/>
    <w:rsid w:val="00EC6334"/>
    <w:rsid w:val="00EC747F"/>
    <w:rsid w:val="00EC7CD7"/>
    <w:rsid w:val="00ED0FFE"/>
    <w:rsid w:val="00ED151D"/>
    <w:rsid w:val="00ED1AAB"/>
    <w:rsid w:val="00ED1BB6"/>
    <w:rsid w:val="00ED2586"/>
    <w:rsid w:val="00ED327A"/>
    <w:rsid w:val="00ED3694"/>
    <w:rsid w:val="00ED375E"/>
    <w:rsid w:val="00ED377A"/>
    <w:rsid w:val="00ED38C4"/>
    <w:rsid w:val="00ED4498"/>
    <w:rsid w:val="00ED4D12"/>
    <w:rsid w:val="00ED54A4"/>
    <w:rsid w:val="00ED571C"/>
    <w:rsid w:val="00ED652E"/>
    <w:rsid w:val="00ED6B44"/>
    <w:rsid w:val="00ED75DF"/>
    <w:rsid w:val="00EE0136"/>
    <w:rsid w:val="00EE0A08"/>
    <w:rsid w:val="00EE15CD"/>
    <w:rsid w:val="00EE1A8E"/>
    <w:rsid w:val="00EE2933"/>
    <w:rsid w:val="00EE5535"/>
    <w:rsid w:val="00EE76C9"/>
    <w:rsid w:val="00EF0D2C"/>
    <w:rsid w:val="00EF23D4"/>
    <w:rsid w:val="00EF37BB"/>
    <w:rsid w:val="00EF3DD7"/>
    <w:rsid w:val="00EF49A8"/>
    <w:rsid w:val="00EF58C8"/>
    <w:rsid w:val="00EF60CE"/>
    <w:rsid w:val="00EF60F8"/>
    <w:rsid w:val="00EF69B1"/>
    <w:rsid w:val="00EF7772"/>
    <w:rsid w:val="00F0094B"/>
    <w:rsid w:val="00F014CE"/>
    <w:rsid w:val="00F056EC"/>
    <w:rsid w:val="00F05718"/>
    <w:rsid w:val="00F05809"/>
    <w:rsid w:val="00F05FA8"/>
    <w:rsid w:val="00F0654F"/>
    <w:rsid w:val="00F0680C"/>
    <w:rsid w:val="00F06C7F"/>
    <w:rsid w:val="00F07192"/>
    <w:rsid w:val="00F0798D"/>
    <w:rsid w:val="00F07C62"/>
    <w:rsid w:val="00F10901"/>
    <w:rsid w:val="00F10FCE"/>
    <w:rsid w:val="00F12D6B"/>
    <w:rsid w:val="00F12D9B"/>
    <w:rsid w:val="00F13754"/>
    <w:rsid w:val="00F13969"/>
    <w:rsid w:val="00F14A1F"/>
    <w:rsid w:val="00F14A92"/>
    <w:rsid w:val="00F14FAB"/>
    <w:rsid w:val="00F15090"/>
    <w:rsid w:val="00F176B9"/>
    <w:rsid w:val="00F17848"/>
    <w:rsid w:val="00F20D65"/>
    <w:rsid w:val="00F213AE"/>
    <w:rsid w:val="00F221BC"/>
    <w:rsid w:val="00F22414"/>
    <w:rsid w:val="00F22F79"/>
    <w:rsid w:val="00F23958"/>
    <w:rsid w:val="00F23CF4"/>
    <w:rsid w:val="00F24A2B"/>
    <w:rsid w:val="00F25679"/>
    <w:rsid w:val="00F258FA"/>
    <w:rsid w:val="00F25F13"/>
    <w:rsid w:val="00F25FCE"/>
    <w:rsid w:val="00F26124"/>
    <w:rsid w:val="00F3193E"/>
    <w:rsid w:val="00F31A79"/>
    <w:rsid w:val="00F31BCD"/>
    <w:rsid w:val="00F335C1"/>
    <w:rsid w:val="00F340F8"/>
    <w:rsid w:val="00F34B28"/>
    <w:rsid w:val="00F34E6F"/>
    <w:rsid w:val="00F35889"/>
    <w:rsid w:val="00F36208"/>
    <w:rsid w:val="00F36886"/>
    <w:rsid w:val="00F36E3C"/>
    <w:rsid w:val="00F36FA6"/>
    <w:rsid w:val="00F3705D"/>
    <w:rsid w:val="00F371BA"/>
    <w:rsid w:val="00F3729C"/>
    <w:rsid w:val="00F403D1"/>
    <w:rsid w:val="00F40C7F"/>
    <w:rsid w:val="00F41273"/>
    <w:rsid w:val="00F415CF"/>
    <w:rsid w:val="00F41E76"/>
    <w:rsid w:val="00F4309A"/>
    <w:rsid w:val="00F43EE3"/>
    <w:rsid w:val="00F43FD9"/>
    <w:rsid w:val="00F4517F"/>
    <w:rsid w:val="00F45D2C"/>
    <w:rsid w:val="00F46B57"/>
    <w:rsid w:val="00F46FE1"/>
    <w:rsid w:val="00F47ADE"/>
    <w:rsid w:val="00F47CFF"/>
    <w:rsid w:val="00F51614"/>
    <w:rsid w:val="00F51F1B"/>
    <w:rsid w:val="00F524D6"/>
    <w:rsid w:val="00F52518"/>
    <w:rsid w:val="00F52805"/>
    <w:rsid w:val="00F52B84"/>
    <w:rsid w:val="00F52C54"/>
    <w:rsid w:val="00F533B5"/>
    <w:rsid w:val="00F559AC"/>
    <w:rsid w:val="00F56BBE"/>
    <w:rsid w:val="00F572E5"/>
    <w:rsid w:val="00F60A14"/>
    <w:rsid w:val="00F61708"/>
    <w:rsid w:val="00F617AA"/>
    <w:rsid w:val="00F6440D"/>
    <w:rsid w:val="00F64D88"/>
    <w:rsid w:val="00F66D2F"/>
    <w:rsid w:val="00F66DFD"/>
    <w:rsid w:val="00F67F65"/>
    <w:rsid w:val="00F700AE"/>
    <w:rsid w:val="00F70345"/>
    <w:rsid w:val="00F7081D"/>
    <w:rsid w:val="00F709AA"/>
    <w:rsid w:val="00F71DC2"/>
    <w:rsid w:val="00F71F0F"/>
    <w:rsid w:val="00F7238B"/>
    <w:rsid w:val="00F72B19"/>
    <w:rsid w:val="00F72B4D"/>
    <w:rsid w:val="00F72EAB"/>
    <w:rsid w:val="00F738AD"/>
    <w:rsid w:val="00F738EA"/>
    <w:rsid w:val="00F742B8"/>
    <w:rsid w:val="00F745D2"/>
    <w:rsid w:val="00F7629E"/>
    <w:rsid w:val="00F76622"/>
    <w:rsid w:val="00F805E0"/>
    <w:rsid w:val="00F81C9E"/>
    <w:rsid w:val="00F826C3"/>
    <w:rsid w:val="00F831C3"/>
    <w:rsid w:val="00F832ED"/>
    <w:rsid w:val="00F8591D"/>
    <w:rsid w:val="00F8652A"/>
    <w:rsid w:val="00F86781"/>
    <w:rsid w:val="00F86B73"/>
    <w:rsid w:val="00F8703C"/>
    <w:rsid w:val="00F8718B"/>
    <w:rsid w:val="00F874AE"/>
    <w:rsid w:val="00F87669"/>
    <w:rsid w:val="00F87E99"/>
    <w:rsid w:val="00F87EDF"/>
    <w:rsid w:val="00F90707"/>
    <w:rsid w:val="00F91565"/>
    <w:rsid w:val="00F91B05"/>
    <w:rsid w:val="00F929A7"/>
    <w:rsid w:val="00F937E7"/>
    <w:rsid w:val="00F938EE"/>
    <w:rsid w:val="00F93E0B"/>
    <w:rsid w:val="00F94060"/>
    <w:rsid w:val="00F949F6"/>
    <w:rsid w:val="00F94D97"/>
    <w:rsid w:val="00F95BEC"/>
    <w:rsid w:val="00F96DD4"/>
    <w:rsid w:val="00F97085"/>
    <w:rsid w:val="00F97792"/>
    <w:rsid w:val="00FA1B17"/>
    <w:rsid w:val="00FA26E1"/>
    <w:rsid w:val="00FA2ED8"/>
    <w:rsid w:val="00FA53CD"/>
    <w:rsid w:val="00FA5F9F"/>
    <w:rsid w:val="00FA6D05"/>
    <w:rsid w:val="00FB09C1"/>
    <w:rsid w:val="00FB1083"/>
    <w:rsid w:val="00FB13EF"/>
    <w:rsid w:val="00FB2CFC"/>
    <w:rsid w:val="00FB3124"/>
    <w:rsid w:val="00FB3795"/>
    <w:rsid w:val="00FB40E4"/>
    <w:rsid w:val="00FB52A1"/>
    <w:rsid w:val="00FB5468"/>
    <w:rsid w:val="00FB5484"/>
    <w:rsid w:val="00FB5874"/>
    <w:rsid w:val="00FB5E6A"/>
    <w:rsid w:val="00FB6269"/>
    <w:rsid w:val="00FB644D"/>
    <w:rsid w:val="00FB66F1"/>
    <w:rsid w:val="00FB71B9"/>
    <w:rsid w:val="00FB731E"/>
    <w:rsid w:val="00FC02A7"/>
    <w:rsid w:val="00FC0688"/>
    <w:rsid w:val="00FC206D"/>
    <w:rsid w:val="00FC2415"/>
    <w:rsid w:val="00FC31B9"/>
    <w:rsid w:val="00FC37EF"/>
    <w:rsid w:val="00FC3983"/>
    <w:rsid w:val="00FC5686"/>
    <w:rsid w:val="00FC57AB"/>
    <w:rsid w:val="00FC5FCC"/>
    <w:rsid w:val="00FC6BFE"/>
    <w:rsid w:val="00FC6E6D"/>
    <w:rsid w:val="00FC73C1"/>
    <w:rsid w:val="00FC7BC8"/>
    <w:rsid w:val="00FD0FCD"/>
    <w:rsid w:val="00FD1874"/>
    <w:rsid w:val="00FD2550"/>
    <w:rsid w:val="00FD2EDF"/>
    <w:rsid w:val="00FD2F4C"/>
    <w:rsid w:val="00FD3173"/>
    <w:rsid w:val="00FD3E9F"/>
    <w:rsid w:val="00FD4494"/>
    <w:rsid w:val="00FD48F3"/>
    <w:rsid w:val="00FD4D2A"/>
    <w:rsid w:val="00FD54AE"/>
    <w:rsid w:val="00FD7276"/>
    <w:rsid w:val="00FD7FD7"/>
    <w:rsid w:val="00FE067C"/>
    <w:rsid w:val="00FE1222"/>
    <w:rsid w:val="00FE1567"/>
    <w:rsid w:val="00FE2664"/>
    <w:rsid w:val="00FE2B21"/>
    <w:rsid w:val="00FE4408"/>
    <w:rsid w:val="00FE4A8C"/>
    <w:rsid w:val="00FE4AC9"/>
    <w:rsid w:val="00FE4E8F"/>
    <w:rsid w:val="00FE5909"/>
    <w:rsid w:val="00FE64DD"/>
    <w:rsid w:val="00FE65BA"/>
    <w:rsid w:val="00FE7437"/>
    <w:rsid w:val="00FE7B12"/>
    <w:rsid w:val="00FE7EA6"/>
    <w:rsid w:val="00FF1291"/>
    <w:rsid w:val="00FF131B"/>
    <w:rsid w:val="00FF1562"/>
    <w:rsid w:val="00FF1A3B"/>
    <w:rsid w:val="00FF1B4C"/>
    <w:rsid w:val="00FF1B87"/>
    <w:rsid w:val="00FF1E2B"/>
    <w:rsid w:val="00FF3E29"/>
    <w:rsid w:val="00FF3E4B"/>
    <w:rsid w:val="00FF4257"/>
    <w:rsid w:val="00FF61DB"/>
    <w:rsid w:val="00FF654B"/>
    <w:rsid w:val="00FF66A2"/>
    <w:rsid w:val="00FF6CD5"/>
    <w:rsid w:val="00FF7204"/>
    <w:rsid w:val="00FF726E"/>
    <w:rsid w:val="01017684"/>
    <w:rsid w:val="011C44BE"/>
    <w:rsid w:val="01431A4A"/>
    <w:rsid w:val="017D66E9"/>
    <w:rsid w:val="018A58CB"/>
    <w:rsid w:val="018C519F"/>
    <w:rsid w:val="019B57A0"/>
    <w:rsid w:val="01A06E9D"/>
    <w:rsid w:val="01A3073B"/>
    <w:rsid w:val="01A324E9"/>
    <w:rsid w:val="01D134FA"/>
    <w:rsid w:val="01D63F6D"/>
    <w:rsid w:val="01D6466C"/>
    <w:rsid w:val="01DF58FF"/>
    <w:rsid w:val="01FA65AD"/>
    <w:rsid w:val="021533E7"/>
    <w:rsid w:val="024C0DD3"/>
    <w:rsid w:val="024D4A7D"/>
    <w:rsid w:val="027F6AB2"/>
    <w:rsid w:val="02A6134A"/>
    <w:rsid w:val="02B26E88"/>
    <w:rsid w:val="02CB7F49"/>
    <w:rsid w:val="02E146F9"/>
    <w:rsid w:val="02E334E5"/>
    <w:rsid w:val="02E80AFB"/>
    <w:rsid w:val="02E903CF"/>
    <w:rsid w:val="02ED4364"/>
    <w:rsid w:val="030671D3"/>
    <w:rsid w:val="030A74DF"/>
    <w:rsid w:val="030B2A3C"/>
    <w:rsid w:val="03103BAE"/>
    <w:rsid w:val="031F181B"/>
    <w:rsid w:val="032A4C70"/>
    <w:rsid w:val="035B12CD"/>
    <w:rsid w:val="035D5C1E"/>
    <w:rsid w:val="0361440A"/>
    <w:rsid w:val="03630182"/>
    <w:rsid w:val="0374413D"/>
    <w:rsid w:val="038B1487"/>
    <w:rsid w:val="03920A67"/>
    <w:rsid w:val="039C5442"/>
    <w:rsid w:val="03A12836"/>
    <w:rsid w:val="03B56C36"/>
    <w:rsid w:val="03CF41F6"/>
    <w:rsid w:val="03D130C9"/>
    <w:rsid w:val="03D1333D"/>
    <w:rsid w:val="03DE3CAC"/>
    <w:rsid w:val="03F80913"/>
    <w:rsid w:val="040A2CF3"/>
    <w:rsid w:val="041B6CAE"/>
    <w:rsid w:val="04274B96"/>
    <w:rsid w:val="043C2389"/>
    <w:rsid w:val="04446205"/>
    <w:rsid w:val="044B7594"/>
    <w:rsid w:val="044F3EF5"/>
    <w:rsid w:val="046046C1"/>
    <w:rsid w:val="04650E5C"/>
    <w:rsid w:val="046B19E4"/>
    <w:rsid w:val="04820ADC"/>
    <w:rsid w:val="04BA2023"/>
    <w:rsid w:val="04DC52CD"/>
    <w:rsid w:val="04E42BB1"/>
    <w:rsid w:val="04F4568F"/>
    <w:rsid w:val="04F546B3"/>
    <w:rsid w:val="04F75026"/>
    <w:rsid w:val="04FA2D68"/>
    <w:rsid w:val="04FC3176"/>
    <w:rsid w:val="050B6D23"/>
    <w:rsid w:val="05177476"/>
    <w:rsid w:val="053C512E"/>
    <w:rsid w:val="053F077B"/>
    <w:rsid w:val="05686EE8"/>
    <w:rsid w:val="05820D5B"/>
    <w:rsid w:val="059E7B97"/>
    <w:rsid w:val="05BE78F1"/>
    <w:rsid w:val="05C018BB"/>
    <w:rsid w:val="05C25634"/>
    <w:rsid w:val="05C44C99"/>
    <w:rsid w:val="05CD3EB3"/>
    <w:rsid w:val="05D45367"/>
    <w:rsid w:val="05E27A84"/>
    <w:rsid w:val="05E30006"/>
    <w:rsid w:val="05E530D0"/>
    <w:rsid w:val="061E22CB"/>
    <w:rsid w:val="06205A83"/>
    <w:rsid w:val="06284D83"/>
    <w:rsid w:val="06585F98"/>
    <w:rsid w:val="065C36FD"/>
    <w:rsid w:val="06725B16"/>
    <w:rsid w:val="068154EF"/>
    <w:rsid w:val="06872D56"/>
    <w:rsid w:val="06913258"/>
    <w:rsid w:val="06963510"/>
    <w:rsid w:val="069F7723"/>
    <w:rsid w:val="06AA444A"/>
    <w:rsid w:val="06C254FC"/>
    <w:rsid w:val="06D66EBD"/>
    <w:rsid w:val="06E46DD6"/>
    <w:rsid w:val="06E65352"/>
    <w:rsid w:val="06F2019A"/>
    <w:rsid w:val="06FD5623"/>
    <w:rsid w:val="07043A2A"/>
    <w:rsid w:val="07065945"/>
    <w:rsid w:val="071F1BF8"/>
    <w:rsid w:val="07320597"/>
    <w:rsid w:val="074402CA"/>
    <w:rsid w:val="07484826"/>
    <w:rsid w:val="074B228B"/>
    <w:rsid w:val="07504EC1"/>
    <w:rsid w:val="07533B82"/>
    <w:rsid w:val="07603356"/>
    <w:rsid w:val="076A17A5"/>
    <w:rsid w:val="076A5F83"/>
    <w:rsid w:val="077F1CF5"/>
    <w:rsid w:val="079335E8"/>
    <w:rsid w:val="079C3C62"/>
    <w:rsid w:val="07A5520D"/>
    <w:rsid w:val="07C30200"/>
    <w:rsid w:val="07CC09EB"/>
    <w:rsid w:val="07D478A0"/>
    <w:rsid w:val="07E85FE1"/>
    <w:rsid w:val="0802440D"/>
    <w:rsid w:val="080B2B96"/>
    <w:rsid w:val="081D2FF5"/>
    <w:rsid w:val="0822151D"/>
    <w:rsid w:val="082F2B3A"/>
    <w:rsid w:val="082F6E54"/>
    <w:rsid w:val="08626C5A"/>
    <w:rsid w:val="088210AA"/>
    <w:rsid w:val="08892439"/>
    <w:rsid w:val="088C017B"/>
    <w:rsid w:val="088E3EF3"/>
    <w:rsid w:val="08935065"/>
    <w:rsid w:val="08B6248C"/>
    <w:rsid w:val="08C0550B"/>
    <w:rsid w:val="08E27D9B"/>
    <w:rsid w:val="08E41D65"/>
    <w:rsid w:val="08FC70AE"/>
    <w:rsid w:val="08FF6B9F"/>
    <w:rsid w:val="090827CD"/>
    <w:rsid w:val="09095327"/>
    <w:rsid w:val="090B35E0"/>
    <w:rsid w:val="09246605"/>
    <w:rsid w:val="094B5940"/>
    <w:rsid w:val="09540C99"/>
    <w:rsid w:val="09615163"/>
    <w:rsid w:val="09641372"/>
    <w:rsid w:val="09736C45"/>
    <w:rsid w:val="09774987"/>
    <w:rsid w:val="09A301DE"/>
    <w:rsid w:val="09B96D4E"/>
    <w:rsid w:val="09CA0F5B"/>
    <w:rsid w:val="09D74EF0"/>
    <w:rsid w:val="09E3201C"/>
    <w:rsid w:val="09FD1E6C"/>
    <w:rsid w:val="0A014251"/>
    <w:rsid w:val="0A0B50CF"/>
    <w:rsid w:val="0A0E1031"/>
    <w:rsid w:val="0A0F2E11"/>
    <w:rsid w:val="0A0F696E"/>
    <w:rsid w:val="0A107C4A"/>
    <w:rsid w:val="0A2377FF"/>
    <w:rsid w:val="0A682522"/>
    <w:rsid w:val="0A6848D8"/>
    <w:rsid w:val="0A6F565E"/>
    <w:rsid w:val="0A742C74"/>
    <w:rsid w:val="0A7C5EE5"/>
    <w:rsid w:val="0A886720"/>
    <w:rsid w:val="0ABD286D"/>
    <w:rsid w:val="0AC41E4E"/>
    <w:rsid w:val="0AD100C7"/>
    <w:rsid w:val="0ADD6A6C"/>
    <w:rsid w:val="0B015E43"/>
    <w:rsid w:val="0B057D70"/>
    <w:rsid w:val="0B9E36F4"/>
    <w:rsid w:val="0BAF665A"/>
    <w:rsid w:val="0BB63CDC"/>
    <w:rsid w:val="0BEB340A"/>
    <w:rsid w:val="0BED2CDE"/>
    <w:rsid w:val="0C1A784C"/>
    <w:rsid w:val="0C1B09F4"/>
    <w:rsid w:val="0C1D11D3"/>
    <w:rsid w:val="0C285797"/>
    <w:rsid w:val="0C405504"/>
    <w:rsid w:val="0C60563C"/>
    <w:rsid w:val="0C686809"/>
    <w:rsid w:val="0C6F4365"/>
    <w:rsid w:val="0C7117A3"/>
    <w:rsid w:val="0C7B02EA"/>
    <w:rsid w:val="0C7D673F"/>
    <w:rsid w:val="0C923886"/>
    <w:rsid w:val="0C965124"/>
    <w:rsid w:val="0CCF4256"/>
    <w:rsid w:val="0CD24F6E"/>
    <w:rsid w:val="0CF01B55"/>
    <w:rsid w:val="0CF647D3"/>
    <w:rsid w:val="0D0A78C0"/>
    <w:rsid w:val="0D0C188A"/>
    <w:rsid w:val="0D1129FD"/>
    <w:rsid w:val="0D132C19"/>
    <w:rsid w:val="0D305579"/>
    <w:rsid w:val="0D4252AC"/>
    <w:rsid w:val="0D4947F0"/>
    <w:rsid w:val="0D4E1EA3"/>
    <w:rsid w:val="0D613984"/>
    <w:rsid w:val="0D6214AA"/>
    <w:rsid w:val="0D6C574D"/>
    <w:rsid w:val="0D6E7004"/>
    <w:rsid w:val="0D883FB7"/>
    <w:rsid w:val="0D895B4A"/>
    <w:rsid w:val="0D8B0A01"/>
    <w:rsid w:val="0DE56FDE"/>
    <w:rsid w:val="0DEF6259"/>
    <w:rsid w:val="0DF447F8"/>
    <w:rsid w:val="0DF90060"/>
    <w:rsid w:val="0E0D58BA"/>
    <w:rsid w:val="0E285928"/>
    <w:rsid w:val="0E2A1FC8"/>
    <w:rsid w:val="0E2D7D0A"/>
    <w:rsid w:val="0E552DBD"/>
    <w:rsid w:val="0EA578A0"/>
    <w:rsid w:val="0EA83079"/>
    <w:rsid w:val="0EC266A4"/>
    <w:rsid w:val="0ED62150"/>
    <w:rsid w:val="0EDD34DE"/>
    <w:rsid w:val="0EE67516"/>
    <w:rsid w:val="0EE83C31"/>
    <w:rsid w:val="0F203F97"/>
    <w:rsid w:val="0F3330FE"/>
    <w:rsid w:val="0F3B6457"/>
    <w:rsid w:val="0F40581B"/>
    <w:rsid w:val="0F4075C9"/>
    <w:rsid w:val="0F515C7A"/>
    <w:rsid w:val="0F517A28"/>
    <w:rsid w:val="0F535F76"/>
    <w:rsid w:val="0F5A0DB5"/>
    <w:rsid w:val="0F6B6D3C"/>
    <w:rsid w:val="0F9F0794"/>
    <w:rsid w:val="0FA31024"/>
    <w:rsid w:val="0FBA13A8"/>
    <w:rsid w:val="0FBD6E6C"/>
    <w:rsid w:val="0FDD4E95"/>
    <w:rsid w:val="0FDE19F7"/>
    <w:rsid w:val="0FF46D31"/>
    <w:rsid w:val="10044A9B"/>
    <w:rsid w:val="1019169C"/>
    <w:rsid w:val="101A42BE"/>
    <w:rsid w:val="101C0036"/>
    <w:rsid w:val="10252C36"/>
    <w:rsid w:val="102D02A1"/>
    <w:rsid w:val="102D3FF1"/>
    <w:rsid w:val="102E38C6"/>
    <w:rsid w:val="103E1D5B"/>
    <w:rsid w:val="10675755"/>
    <w:rsid w:val="1077526D"/>
    <w:rsid w:val="108160EB"/>
    <w:rsid w:val="10863702"/>
    <w:rsid w:val="109C57DC"/>
    <w:rsid w:val="109E740F"/>
    <w:rsid w:val="10AB4F16"/>
    <w:rsid w:val="10AC760C"/>
    <w:rsid w:val="10BB784F"/>
    <w:rsid w:val="10C83D1A"/>
    <w:rsid w:val="10CD30DE"/>
    <w:rsid w:val="10E723F2"/>
    <w:rsid w:val="10EC0872"/>
    <w:rsid w:val="111451B1"/>
    <w:rsid w:val="11423ACC"/>
    <w:rsid w:val="1144495B"/>
    <w:rsid w:val="11515ABE"/>
    <w:rsid w:val="115F45E5"/>
    <w:rsid w:val="116E48C1"/>
    <w:rsid w:val="116E4A19"/>
    <w:rsid w:val="116F4196"/>
    <w:rsid w:val="119500A0"/>
    <w:rsid w:val="11CC1466"/>
    <w:rsid w:val="11D34725"/>
    <w:rsid w:val="11D566EF"/>
    <w:rsid w:val="11D861DF"/>
    <w:rsid w:val="11E46C61"/>
    <w:rsid w:val="12107F7D"/>
    <w:rsid w:val="12266F4A"/>
    <w:rsid w:val="126B2BAF"/>
    <w:rsid w:val="12744159"/>
    <w:rsid w:val="127A1044"/>
    <w:rsid w:val="12A146D5"/>
    <w:rsid w:val="12A85BB1"/>
    <w:rsid w:val="12B10F0A"/>
    <w:rsid w:val="12C50511"/>
    <w:rsid w:val="12CD4126"/>
    <w:rsid w:val="12E360E4"/>
    <w:rsid w:val="12E60488"/>
    <w:rsid w:val="12E62106"/>
    <w:rsid w:val="12F901BB"/>
    <w:rsid w:val="13182D37"/>
    <w:rsid w:val="13196AAF"/>
    <w:rsid w:val="13373653"/>
    <w:rsid w:val="133D454B"/>
    <w:rsid w:val="133E2072"/>
    <w:rsid w:val="13533D6F"/>
    <w:rsid w:val="135950FD"/>
    <w:rsid w:val="13616DDA"/>
    <w:rsid w:val="13783CEF"/>
    <w:rsid w:val="137B32C6"/>
    <w:rsid w:val="13826402"/>
    <w:rsid w:val="13904FC3"/>
    <w:rsid w:val="13916645"/>
    <w:rsid w:val="13AC7923"/>
    <w:rsid w:val="13B758FF"/>
    <w:rsid w:val="13D5487D"/>
    <w:rsid w:val="13F57B76"/>
    <w:rsid w:val="141259D8"/>
    <w:rsid w:val="1419582F"/>
    <w:rsid w:val="141C1100"/>
    <w:rsid w:val="1441006B"/>
    <w:rsid w:val="144C06BE"/>
    <w:rsid w:val="14531B4D"/>
    <w:rsid w:val="14641FAC"/>
    <w:rsid w:val="14697BE6"/>
    <w:rsid w:val="147742FE"/>
    <w:rsid w:val="149F2FE4"/>
    <w:rsid w:val="14A56265"/>
    <w:rsid w:val="14DB7F08"/>
    <w:rsid w:val="14E62BE7"/>
    <w:rsid w:val="1517701E"/>
    <w:rsid w:val="15200D24"/>
    <w:rsid w:val="15221996"/>
    <w:rsid w:val="152D4594"/>
    <w:rsid w:val="153D4CD7"/>
    <w:rsid w:val="15525D59"/>
    <w:rsid w:val="155E4C4D"/>
    <w:rsid w:val="15610299"/>
    <w:rsid w:val="15632263"/>
    <w:rsid w:val="15915022"/>
    <w:rsid w:val="159D7523"/>
    <w:rsid w:val="15B91E83"/>
    <w:rsid w:val="15CF37D3"/>
    <w:rsid w:val="15D56295"/>
    <w:rsid w:val="15D867AD"/>
    <w:rsid w:val="160457D1"/>
    <w:rsid w:val="160752E5"/>
    <w:rsid w:val="161D1CE9"/>
    <w:rsid w:val="161E0A1B"/>
    <w:rsid w:val="163A2FC4"/>
    <w:rsid w:val="1647748F"/>
    <w:rsid w:val="166D15EC"/>
    <w:rsid w:val="16701D10"/>
    <w:rsid w:val="16734728"/>
    <w:rsid w:val="167C35DD"/>
    <w:rsid w:val="16866209"/>
    <w:rsid w:val="16930926"/>
    <w:rsid w:val="169C3C7F"/>
    <w:rsid w:val="16A9014A"/>
    <w:rsid w:val="16BF171B"/>
    <w:rsid w:val="16E86EC4"/>
    <w:rsid w:val="16F77107"/>
    <w:rsid w:val="1703785A"/>
    <w:rsid w:val="17117C38"/>
    <w:rsid w:val="17143815"/>
    <w:rsid w:val="17285513"/>
    <w:rsid w:val="1740206C"/>
    <w:rsid w:val="17571954"/>
    <w:rsid w:val="17793FC0"/>
    <w:rsid w:val="17945F30"/>
    <w:rsid w:val="17A133F8"/>
    <w:rsid w:val="17A56B63"/>
    <w:rsid w:val="17DE54CF"/>
    <w:rsid w:val="17E4768B"/>
    <w:rsid w:val="17F81389"/>
    <w:rsid w:val="17FD65D0"/>
    <w:rsid w:val="18025D64"/>
    <w:rsid w:val="180715CC"/>
    <w:rsid w:val="180A2E6A"/>
    <w:rsid w:val="181F6915"/>
    <w:rsid w:val="182C1032"/>
    <w:rsid w:val="18441ED8"/>
    <w:rsid w:val="184B74E5"/>
    <w:rsid w:val="18664544"/>
    <w:rsid w:val="18730853"/>
    <w:rsid w:val="188F6EFF"/>
    <w:rsid w:val="189D783A"/>
    <w:rsid w:val="18C7379E"/>
    <w:rsid w:val="18C748B7"/>
    <w:rsid w:val="18D60912"/>
    <w:rsid w:val="18D771F0"/>
    <w:rsid w:val="18DA6CE0"/>
    <w:rsid w:val="1912647A"/>
    <w:rsid w:val="19263CD4"/>
    <w:rsid w:val="192B12EA"/>
    <w:rsid w:val="19382100"/>
    <w:rsid w:val="195F08E7"/>
    <w:rsid w:val="195F2D42"/>
    <w:rsid w:val="196333D9"/>
    <w:rsid w:val="196C5B8A"/>
    <w:rsid w:val="19742C91"/>
    <w:rsid w:val="19792055"/>
    <w:rsid w:val="197E141A"/>
    <w:rsid w:val="198D1C77"/>
    <w:rsid w:val="19A215AC"/>
    <w:rsid w:val="19B659E9"/>
    <w:rsid w:val="19CA28B1"/>
    <w:rsid w:val="19E576EB"/>
    <w:rsid w:val="19E679C4"/>
    <w:rsid w:val="19F704E3"/>
    <w:rsid w:val="1A3633A8"/>
    <w:rsid w:val="1A7D7923"/>
    <w:rsid w:val="1A98650B"/>
    <w:rsid w:val="1A9D1D74"/>
    <w:rsid w:val="1AA4585E"/>
    <w:rsid w:val="1AD70FEB"/>
    <w:rsid w:val="1ADA70F7"/>
    <w:rsid w:val="1ADE52DA"/>
    <w:rsid w:val="1AFF4613"/>
    <w:rsid w:val="1B49619E"/>
    <w:rsid w:val="1B562A06"/>
    <w:rsid w:val="1B6A60FA"/>
    <w:rsid w:val="1B701236"/>
    <w:rsid w:val="1BAC6712"/>
    <w:rsid w:val="1BB83309"/>
    <w:rsid w:val="1BD57D32"/>
    <w:rsid w:val="1BD712B5"/>
    <w:rsid w:val="1BE30BF5"/>
    <w:rsid w:val="1BE7599C"/>
    <w:rsid w:val="1BF14125"/>
    <w:rsid w:val="1C12523F"/>
    <w:rsid w:val="1C16002F"/>
    <w:rsid w:val="1C1821EF"/>
    <w:rsid w:val="1C194514"/>
    <w:rsid w:val="1C365FDC"/>
    <w:rsid w:val="1C395ACC"/>
    <w:rsid w:val="1C47643B"/>
    <w:rsid w:val="1C556DAA"/>
    <w:rsid w:val="1C5B4972"/>
    <w:rsid w:val="1C662D65"/>
    <w:rsid w:val="1C786A3B"/>
    <w:rsid w:val="1C84143D"/>
    <w:rsid w:val="1CA2751E"/>
    <w:rsid w:val="1CAC2742"/>
    <w:rsid w:val="1CB33AD0"/>
    <w:rsid w:val="1CC04712"/>
    <w:rsid w:val="1CE819CC"/>
    <w:rsid w:val="1CEF719F"/>
    <w:rsid w:val="1CFE1968"/>
    <w:rsid w:val="1D2E3157"/>
    <w:rsid w:val="1D840FC9"/>
    <w:rsid w:val="1DA33B45"/>
    <w:rsid w:val="1DAD6772"/>
    <w:rsid w:val="1DAF4B38"/>
    <w:rsid w:val="1DB30BE0"/>
    <w:rsid w:val="1DDA0D6B"/>
    <w:rsid w:val="1DDF7A40"/>
    <w:rsid w:val="1DE228BA"/>
    <w:rsid w:val="1DF3368A"/>
    <w:rsid w:val="1E0839A8"/>
    <w:rsid w:val="1E8F2A80"/>
    <w:rsid w:val="1EB9030D"/>
    <w:rsid w:val="1EBF675C"/>
    <w:rsid w:val="1EC91389"/>
    <w:rsid w:val="1EDA4679"/>
    <w:rsid w:val="1F03544E"/>
    <w:rsid w:val="1F0829B6"/>
    <w:rsid w:val="1F2C2D5F"/>
    <w:rsid w:val="1F470500"/>
    <w:rsid w:val="1F6327D6"/>
    <w:rsid w:val="1F6E513F"/>
    <w:rsid w:val="1F971487"/>
    <w:rsid w:val="1FA0658E"/>
    <w:rsid w:val="1FB65DB1"/>
    <w:rsid w:val="1FCF0C21"/>
    <w:rsid w:val="1FD16E47"/>
    <w:rsid w:val="1FDE70B6"/>
    <w:rsid w:val="1FE83A91"/>
    <w:rsid w:val="201605FE"/>
    <w:rsid w:val="201C3760"/>
    <w:rsid w:val="20210D51"/>
    <w:rsid w:val="20253FD6"/>
    <w:rsid w:val="202F2F0A"/>
    <w:rsid w:val="20322F5E"/>
    <w:rsid w:val="203B7DCD"/>
    <w:rsid w:val="2040567B"/>
    <w:rsid w:val="20476A09"/>
    <w:rsid w:val="204A02A8"/>
    <w:rsid w:val="20717F2A"/>
    <w:rsid w:val="20726243"/>
    <w:rsid w:val="208F6602"/>
    <w:rsid w:val="209459C7"/>
    <w:rsid w:val="20A420AE"/>
    <w:rsid w:val="20B322F1"/>
    <w:rsid w:val="20C067BC"/>
    <w:rsid w:val="20C242E2"/>
    <w:rsid w:val="20C91B14"/>
    <w:rsid w:val="20D44015"/>
    <w:rsid w:val="20E643A0"/>
    <w:rsid w:val="20FD17BE"/>
    <w:rsid w:val="20FD26FC"/>
    <w:rsid w:val="2146615C"/>
    <w:rsid w:val="21505D92"/>
    <w:rsid w:val="216A06D1"/>
    <w:rsid w:val="216D6919"/>
    <w:rsid w:val="21780E44"/>
    <w:rsid w:val="2187608E"/>
    <w:rsid w:val="21933ED0"/>
    <w:rsid w:val="219F0AC7"/>
    <w:rsid w:val="21B61F52"/>
    <w:rsid w:val="21C26467"/>
    <w:rsid w:val="21C36564"/>
    <w:rsid w:val="21C81DCC"/>
    <w:rsid w:val="21D249F9"/>
    <w:rsid w:val="21DA38AD"/>
    <w:rsid w:val="21F84180"/>
    <w:rsid w:val="22500474"/>
    <w:rsid w:val="22513B6F"/>
    <w:rsid w:val="22525B39"/>
    <w:rsid w:val="227B2926"/>
    <w:rsid w:val="22835CF3"/>
    <w:rsid w:val="22865684"/>
    <w:rsid w:val="228C104B"/>
    <w:rsid w:val="22BA5A10"/>
    <w:rsid w:val="22CF718A"/>
    <w:rsid w:val="22EF5136"/>
    <w:rsid w:val="232D5807"/>
    <w:rsid w:val="23382EED"/>
    <w:rsid w:val="233D40F4"/>
    <w:rsid w:val="23450EDC"/>
    <w:rsid w:val="234E7D22"/>
    <w:rsid w:val="23515DF1"/>
    <w:rsid w:val="23517B9F"/>
    <w:rsid w:val="23531B69"/>
    <w:rsid w:val="235D02F2"/>
    <w:rsid w:val="235F406A"/>
    <w:rsid w:val="236B2E9C"/>
    <w:rsid w:val="2383701D"/>
    <w:rsid w:val="238826AD"/>
    <w:rsid w:val="238B742E"/>
    <w:rsid w:val="23987286"/>
    <w:rsid w:val="23AD74CB"/>
    <w:rsid w:val="23AE6D9F"/>
    <w:rsid w:val="23B834F6"/>
    <w:rsid w:val="23D45DC0"/>
    <w:rsid w:val="23E1155B"/>
    <w:rsid w:val="23ED1676"/>
    <w:rsid w:val="242B4894"/>
    <w:rsid w:val="243472A5"/>
    <w:rsid w:val="24376D95"/>
    <w:rsid w:val="245A4A6F"/>
    <w:rsid w:val="247A404C"/>
    <w:rsid w:val="248A15BB"/>
    <w:rsid w:val="249F7694"/>
    <w:rsid w:val="24A92885"/>
    <w:rsid w:val="24F86524"/>
    <w:rsid w:val="24FD7FDE"/>
    <w:rsid w:val="25001B3E"/>
    <w:rsid w:val="250F1AC0"/>
    <w:rsid w:val="2513335E"/>
    <w:rsid w:val="251F61A7"/>
    <w:rsid w:val="252E0198"/>
    <w:rsid w:val="25340E3D"/>
    <w:rsid w:val="254259F1"/>
    <w:rsid w:val="25461985"/>
    <w:rsid w:val="254E4396"/>
    <w:rsid w:val="25545BB7"/>
    <w:rsid w:val="25550C1E"/>
    <w:rsid w:val="255D409B"/>
    <w:rsid w:val="256A4F48"/>
    <w:rsid w:val="25781413"/>
    <w:rsid w:val="258204E4"/>
    <w:rsid w:val="258D6542"/>
    <w:rsid w:val="25965D3D"/>
    <w:rsid w:val="25A5551F"/>
    <w:rsid w:val="25A71CF8"/>
    <w:rsid w:val="25BD21AD"/>
    <w:rsid w:val="25CA6E09"/>
    <w:rsid w:val="25D6438C"/>
    <w:rsid w:val="25E25090"/>
    <w:rsid w:val="25E81E32"/>
    <w:rsid w:val="25F3318F"/>
    <w:rsid w:val="25F5515A"/>
    <w:rsid w:val="25F64996"/>
    <w:rsid w:val="25F767DC"/>
    <w:rsid w:val="262B0B7B"/>
    <w:rsid w:val="26563746"/>
    <w:rsid w:val="265A6D6B"/>
    <w:rsid w:val="265D7A5C"/>
    <w:rsid w:val="266876DA"/>
    <w:rsid w:val="268C2968"/>
    <w:rsid w:val="26B24DF9"/>
    <w:rsid w:val="26C16DEA"/>
    <w:rsid w:val="26C708A4"/>
    <w:rsid w:val="26C757BD"/>
    <w:rsid w:val="26DB434F"/>
    <w:rsid w:val="26EA4592"/>
    <w:rsid w:val="26ED1D1A"/>
    <w:rsid w:val="26EE4083"/>
    <w:rsid w:val="26EE5A20"/>
    <w:rsid w:val="27046DB7"/>
    <w:rsid w:val="271565FB"/>
    <w:rsid w:val="27207FB4"/>
    <w:rsid w:val="27331D58"/>
    <w:rsid w:val="27391076"/>
    <w:rsid w:val="27391BD0"/>
    <w:rsid w:val="27426D58"/>
    <w:rsid w:val="274912B9"/>
    <w:rsid w:val="274E68CF"/>
    <w:rsid w:val="27595274"/>
    <w:rsid w:val="27607710"/>
    <w:rsid w:val="276C3F85"/>
    <w:rsid w:val="276E2ACE"/>
    <w:rsid w:val="27735B86"/>
    <w:rsid w:val="277B1EA4"/>
    <w:rsid w:val="278D4EE0"/>
    <w:rsid w:val="27A961FC"/>
    <w:rsid w:val="27A96AB9"/>
    <w:rsid w:val="27D95EBF"/>
    <w:rsid w:val="27DC037F"/>
    <w:rsid w:val="27EC31AA"/>
    <w:rsid w:val="2802590C"/>
    <w:rsid w:val="280A4686"/>
    <w:rsid w:val="28172BC3"/>
    <w:rsid w:val="281F026C"/>
    <w:rsid w:val="283A284D"/>
    <w:rsid w:val="284B1054"/>
    <w:rsid w:val="285919D0"/>
    <w:rsid w:val="28595263"/>
    <w:rsid w:val="28661FFF"/>
    <w:rsid w:val="2868457E"/>
    <w:rsid w:val="28723DF2"/>
    <w:rsid w:val="28793E20"/>
    <w:rsid w:val="288C49BA"/>
    <w:rsid w:val="28926CDF"/>
    <w:rsid w:val="2895372B"/>
    <w:rsid w:val="28AA222B"/>
    <w:rsid w:val="28C64DCA"/>
    <w:rsid w:val="28C802B7"/>
    <w:rsid w:val="28DE1ED5"/>
    <w:rsid w:val="28DF17A9"/>
    <w:rsid w:val="28F24E95"/>
    <w:rsid w:val="28FB65E3"/>
    <w:rsid w:val="28FC235B"/>
    <w:rsid w:val="2900094D"/>
    <w:rsid w:val="29174AC8"/>
    <w:rsid w:val="2920429C"/>
    <w:rsid w:val="29446FED"/>
    <w:rsid w:val="294B0A9B"/>
    <w:rsid w:val="29581C87"/>
    <w:rsid w:val="296D0CD1"/>
    <w:rsid w:val="296E14AB"/>
    <w:rsid w:val="299507E6"/>
    <w:rsid w:val="29AB625B"/>
    <w:rsid w:val="29CA4207"/>
    <w:rsid w:val="29CF181E"/>
    <w:rsid w:val="2A005E38"/>
    <w:rsid w:val="2A133E00"/>
    <w:rsid w:val="2A3873C3"/>
    <w:rsid w:val="2A75037D"/>
    <w:rsid w:val="2A756869"/>
    <w:rsid w:val="2A9F38E6"/>
    <w:rsid w:val="2AA8279A"/>
    <w:rsid w:val="2AB27C3C"/>
    <w:rsid w:val="2AB63109"/>
    <w:rsid w:val="2ABF7AE4"/>
    <w:rsid w:val="2ACD0453"/>
    <w:rsid w:val="2AD322F2"/>
    <w:rsid w:val="2AF26BAB"/>
    <w:rsid w:val="2AF84EE9"/>
    <w:rsid w:val="2AFE23BA"/>
    <w:rsid w:val="2B0379D1"/>
    <w:rsid w:val="2B0C0F7B"/>
    <w:rsid w:val="2B397896"/>
    <w:rsid w:val="2B6D12EE"/>
    <w:rsid w:val="2B77332B"/>
    <w:rsid w:val="2B8E1990"/>
    <w:rsid w:val="2BAA2542"/>
    <w:rsid w:val="2BAD7EEE"/>
    <w:rsid w:val="2BD31A99"/>
    <w:rsid w:val="2BE45A54"/>
    <w:rsid w:val="2BF9180D"/>
    <w:rsid w:val="2C210F74"/>
    <w:rsid w:val="2C245E51"/>
    <w:rsid w:val="2C3116AB"/>
    <w:rsid w:val="2C602C01"/>
    <w:rsid w:val="2C610E53"/>
    <w:rsid w:val="2C620DE5"/>
    <w:rsid w:val="2C697D08"/>
    <w:rsid w:val="2C6E5E3A"/>
    <w:rsid w:val="2C840FE5"/>
    <w:rsid w:val="2C8C39F6"/>
    <w:rsid w:val="2C9A6113"/>
    <w:rsid w:val="2CBE62A5"/>
    <w:rsid w:val="2CD4412F"/>
    <w:rsid w:val="2CED26E7"/>
    <w:rsid w:val="2CFC6DCE"/>
    <w:rsid w:val="2D151C3D"/>
    <w:rsid w:val="2D32459D"/>
    <w:rsid w:val="2D3927E8"/>
    <w:rsid w:val="2D406CBA"/>
    <w:rsid w:val="2D4300C9"/>
    <w:rsid w:val="2D430559"/>
    <w:rsid w:val="2D4C45A1"/>
    <w:rsid w:val="2D510EC7"/>
    <w:rsid w:val="2D67693D"/>
    <w:rsid w:val="2D894D72"/>
    <w:rsid w:val="2D9633CA"/>
    <w:rsid w:val="2DAD00C8"/>
    <w:rsid w:val="2DC44A4F"/>
    <w:rsid w:val="2DC55411"/>
    <w:rsid w:val="2DD12008"/>
    <w:rsid w:val="2E083F3B"/>
    <w:rsid w:val="2E0B376C"/>
    <w:rsid w:val="2E3507E9"/>
    <w:rsid w:val="2E4846CC"/>
    <w:rsid w:val="2E5077D3"/>
    <w:rsid w:val="2E6A3E61"/>
    <w:rsid w:val="2E7A61FC"/>
    <w:rsid w:val="2E876B6B"/>
    <w:rsid w:val="2E954DE4"/>
    <w:rsid w:val="2E9C0E80"/>
    <w:rsid w:val="2EAD053B"/>
    <w:rsid w:val="2EBD258D"/>
    <w:rsid w:val="2EC03CB2"/>
    <w:rsid w:val="2EC67693"/>
    <w:rsid w:val="2EC8145A"/>
    <w:rsid w:val="2ED0766D"/>
    <w:rsid w:val="2EDD678B"/>
    <w:rsid w:val="2EF20132"/>
    <w:rsid w:val="2F032695"/>
    <w:rsid w:val="2F166361"/>
    <w:rsid w:val="2F2A2D4D"/>
    <w:rsid w:val="2F452CAE"/>
    <w:rsid w:val="2F4A6121"/>
    <w:rsid w:val="2F7D6EF5"/>
    <w:rsid w:val="2F816648"/>
    <w:rsid w:val="2F8B61E7"/>
    <w:rsid w:val="2FA95B86"/>
    <w:rsid w:val="2FB83480"/>
    <w:rsid w:val="2FBE480E"/>
    <w:rsid w:val="2FC040E2"/>
    <w:rsid w:val="2FE54285"/>
    <w:rsid w:val="2FF80E15"/>
    <w:rsid w:val="2FFD79D3"/>
    <w:rsid w:val="300852DE"/>
    <w:rsid w:val="30087837"/>
    <w:rsid w:val="30182170"/>
    <w:rsid w:val="301B756B"/>
    <w:rsid w:val="302145DD"/>
    <w:rsid w:val="3025488D"/>
    <w:rsid w:val="3034687E"/>
    <w:rsid w:val="30523594"/>
    <w:rsid w:val="30546461"/>
    <w:rsid w:val="30890978"/>
    <w:rsid w:val="309C4B4F"/>
    <w:rsid w:val="30A734F4"/>
    <w:rsid w:val="30A9726C"/>
    <w:rsid w:val="30D51E0F"/>
    <w:rsid w:val="30DA7426"/>
    <w:rsid w:val="30E738F1"/>
    <w:rsid w:val="30F8356E"/>
    <w:rsid w:val="30F85AFE"/>
    <w:rsid w:val="30FA173D"/>
    <w:rsid w:val="310D15A9"/>
    <w:rsid w:val="312C3DE1"/>
    <w:rsid w:val="314F3970"/>
    <w:rsid w:val="316C5EBB"/>
    <w:rsid w:val="31747C24"/>
    <w:rsid w:val="318C4058"/>
    <w:rsid w:val="318C4BC4"/>
    <w:rsid w:val="319D1733"/>
    <w:rsid w:val="31AF28A2"/>
    <w:rsid w:val="31B639EF"/>
    <w:rsid w:val="31D9592F"/>
    <w:rsid w:val="31E645B2"/>
    <w:rsid w:val="31E779FF"/>
    <w:rsid w:val="31F12C79"/>
    <w:rsid w:val="31F134B7"/>
    <w:rsid w:val="32101209"/>
    <w:rsid w:val="32244DFC"/>
    <w:rsid w:val="322667B5"/>
    <w:rsid w:val="326374DC"/>
    <w:rsid w:val="326C67A3"/>
    <w:rsid w:val="328303DD"/>
    <w:rsid w:val="32C12A75"/>
    <w:rsid w:val="32E0684A"/>
    <w:rsid w:val="32E620B2"/>
    <w:rsid w:val="32EB3B6C"/>
    <w:rsid w:val="32EE0F67"/>
    <w:rsid w:val="32F02F31"/>
    <w:rsid w:val="32F347CF"/>
    <w:rsid w:val="32FD11AA"/>
    <w:rsid w:val="33024A12"/>
    <w:rsid w:val="33136C1F"/>
    <w:rsid w:val="333746BC"/>
    <w:rsid w:val="33770F5C"/>
    <w:rsid w:val="33823753"/>
    <w:rsid w:val="338B2C59"/>
    <w:rsid w:val="33977850"/>
    <w:rsid w:val="33A65CE5"/>
    <w:rsid w:val="33AA05E8"/>
    <w:rsid w:val="33B169AF"/>
    <w:rsid w:val="33C66680"/>
    <w:rsid w:val="33D9076A"/>
    <w:rsid w:val="33E3258B"/>
    <w:rsid w:val="33EA5BD2"/>
    <w:rsid w:val="33FB393B"/>
    <w:rsid w:val="34131B96"/>
    <w:rsid w:val="341B4D8B"/>
    <w:rsid w:val="3431795E"/>
    <w:rsid w:val="343D55E2"/>
    <w:rsid w:val="34452E08"/>
    <w:rsid w:val="34552B86"/>
    <w:rsid w:val="34627E5E"/>
    <w:rsid w:val="34802092"/>
    <w:rsid w:val="34843B31"/>
    <w:rsid w:val="34980AC4"/>
    <w:rsid w:val="349D0E96"/>
    <w:rsid w:val="34E21963"/>
    <w:rsid w:val="34E50CCC"/>
    <w:rsid w:val="34F14D3E"/>
    <w:rsid w:val="34F62354"/>
    <w:rsid w:val="351A24E7"/>
    <w:rsid w:val="352D221A"/>
    <w:rsid w:val="35387D63"/>
    <w:rsid w:val="353A4937"/>
    <w:rsid w:val="354D6418"/>
    <w:rsid w:val="358931C8"/>
    <w:rsid w:val="35A952DD"/>
    <w:rsid w:val="35BA7826"/>
    <w:rsid w:val="35C10BB4"/>
    <w:rsid w:val="35F5260C"/>
    <w:rsid w:val="35F70776"/>
    <w:rsid w:val="362829E1"/>
    <w:rsid w:val="36356EAC"/>
    <w:rsid w:val="36405F7D"/>
    <w:rsid w:val="36427103"/>
    <w:rsid w:val="36454420"/>
    <w:rsid w:val="36633A19"/>
    <w:rsid w:val="367232C8"/>
    <w:rsid w:val="36730100"/>
    <w:rsid w:val="367501B8"/>
    <w:rsid w:val="367664B1"/>
    <w:rsid w:val="367D1DCA"/>
    <w:rsid w:val="36E209C0"/>
    <w:rsid w:val="36E508D2"/>
    <w:rsid w:val="36FF1994"/>
    <w:rsid w:val="371B152F"/>
    <w:rsid w:val="37384EA6"/>
    <w:rsid w:val="37427AD3"/>
    <w:rsid w:val="37643EED"/>
    <w:rsid w:val="376E6490"/>
    <w:rsid w:val="37904CE2"/>
    <w:rsid w:val="37A23B2A"/>
    <w:rsid w:val="37A7550F"/>
    <w:rsid w:val="37A83712"/>
    <w:rsid w:val="37AD7642"/>
    <w:rsid w:val="37B24AB3"/>
    <w:rsid w:val="37C640CA"/>
    <w:rsid w:val="37C8622A"/>
    <w:rsid w:val="37E42938"/>
    <w:rsid w:val="3809239F"/>
    <w:rsid w:val="38156F95"/>
    <w:rsid w:val="381B0A50"/>
    <w:rsid w:val="38510CC6"/>
    <w:rsid w:val="387B07A6"/>
    <w:rsid w:val="389B393F"/>
    <w:rsid w:val="389D18F0"/>
    <w:rsid w:val="38AC5B4C"/>
    <w:rsid w:val="38AD56EA"/>
    <w:rsid w:val="38BD38B5"/>
    <w:rsid w:val="38BE13DB"/>
    <w:rsid w:val="38CD7870"/>
    <w:rsid w:val="38D10AEB"/>
    <w:rsid w:val="38D916BE"/>
    <w:rsid w:val="38ED03A5"/>
    <w:rsid w:val="38F11583"/>
    <w:rsid w:val="38F115A1"/>
    <w:rsid w:val="38F20621"/>
    <w:rsid w:val="39073480"/>
    <w:rsid w:val="391159AF"/>
    <w:rsid w:val="3911775D"/>
    <w:rsid w:val="391B682D"/>
    <w:rsid w:val="392404CB"/>
    <w:rsid w:val="393D67A4"/>
    <w:rsid w:val="39553AED"/>
    <w:rsid w:val="398E0DAD"/>
    <w:rsid w:val="39A44A75"/>
    <w:rsid w:val="39AE31FE"/>
    <w:rsid w:val="39BF2767"/>
    <w:rsid w:val="39CD3FCC"/>
    <w:rsid w:val="39CE564E"/>
    <w:rsid w:val="39D569DC"/>
    <w:rsid w:val="39E5694E"/>
    <w:rsid w:val="39E8099F"/>
    <w:rsid w:val="39E97BF2"/>
    <w:rsid w:val="39EC027C"/>
    <w:rsid w:val="39F448CD"/>
    <w:rsid w:val="39FF7EFD"/>
    <w:rsid w:val="3A1219DE"/>
    <w:rsid w:val="3A4D0C68"/>
    <w:rsid w:val="3A5B6136"/>
    <w:rsid w:val="3A5C0EAC"/>
    <w:rsid w:val="3A7A7584"/>
    <w:rsid w:val="3A850B77"/>
    <w:rsid w:val="3A887EF3"/>
    <w:rsid w:val="3AA20FB4"/>
    <w:rsid w:val="3AA27206"/>
    <w:rsid w:val="3AA36ADA"/>
    <w:rsid w:val="3AA52853"/>
    <w:rsid w:val="3AAA009C"/>
    <w:rsid w:val="3AAD7959"/>
    <w:rsid w:val="3AB02FA5"/>
    <w:rsid w:val="3ADC2E01"/>
    <w:rsid w:val="3AEA295B"/>
    <w:rsid w:val="3AEF1D20"/>
    <w:rsid w:val="3AFC23EB"/>
    <w:rsid w:val="3B0E03F8"/>
    <w:rsid w:val="3B125121"/>
    <w:rsid w:val="3B2220F5"/>
    <w:rsid w:val="3B4200A1"/>
    <w:rsid w:val="3B4A51A8"/>
    <w:rsid w:val="3B4E4C98"/>
    <w:rsid w:val="3B7F12F6"/>
    <w:rsid w:val="3B800BCA"/>
    <w:rsid w:val="3B8E7126"/>
    <w:rsid w:val="3B9D5C20"/>
    <w:rsid w:val="3BB15227"/>
    <w:rsid w:val="3BC136BC"/>
    <w:rsid w:val="3BC90B0B"/>
    <w:rsid w:val="3BDC22A4"/>
    <w:rsid w:val="3C261771"/>
    <w:rsid w:val="3C384E8C"/>
    <w:rsid w:val="3C3C2D43"/>
    <w:rsid w:val="3C5C1637"/>
    <w:rsid w:val="3C6D114E"/>
    <w:rsid w:val="3C6D55F2"/>
    <w:rsid w:val="3C770627"/>
    <w:rsid w:val="3C917532"/>
    <w:rsid w:val="3CA863A8"/>
    <w:rsid w:val="3CB11983"/>
    <w:rsid w:val="3CD8017B"/>
    <w:rsid w:val="3CDE71C1"/>
    <w:rsid w:val="3CEB3FEF"/>
    <w:rsid w:val="3D0C6BB9"/>
    <w:rsid w:val="3D17730C"/>
    <w:rsid w:val="3D22018A"/>
    <w:rsid w:val="3D3805DF"/>
    <w:rsid w:val="3D3E0D3C"/>
    <w:rsid w:val="3D453E79"/>
    <w:rsid w:val="3D49647F"/>
    <w:rsid w:val="3D5D11C3"/>
    <w:rsid w:val="3D677446"/>
    <w:rsid w:val="3D70539A"/>
    <w:rsid w:val="3D802641"/>
    <w:rsid w:val="3D8F4CC1"/>
    <w:rsid w:val="3DAB4624"/>
    <w:rsid w:val="3DB66B25"/>
    <w:rsid w:val="3DC456E6"/>
    <w:rsid w:val="3DDB658B"/>
    <w:rsid w:val="3E0E4BB3"/>
    <w:rsid w:val="3E104487"/>
    <w:rsid w:val="3E2241BA"/>
    <w:rsid w:val="3E3D0FF4"/>
    <w:rsid w:val="3E483C21"/>
    <w:rsid w:val="3E5D51F2"/>
    <w:rsid w:val="3E7C7D6E"/>
    <w:rsid w:val="3E945C80"/>
    <w:rsid w:val="3EA90437"/>
    <w:rsid w:val="3EAB41B0"/>
    <w:rsid w:val="3EC82FB3"/>
    <w:rsid w:val="3ECF60F0"/>
    <w:rsid w:val="3EDC25BB"/>
    <w:rsid w:val="3EE651E8"/>
    <w:rsid w:val="3EFB6EE5"/>
    <w:rsid w:val="3F033FEC"/>
    <w:rsid w:val="3F147857"/>
    <w:rsid w:val="3F2006FA"/>
    <w:rsid w:val="3F264703"/>
    <w:rsid w:val="3F3044D0"/>
    <w:rsid w:val="3F424B14"/>
    <w:rsid w:val="3F696545"/>
    <w:rsid w:val="3F6E5909"/>
    <w:rsid w:val="3F731171"/>
    <w:rsid w:val="3F7647BE"/>
    <w:rsid w:val="3F9A42C7"/>
    <w:rsid w:val="3FA702E8"/>
    <w:rsid w:val="3FB377C0"/>
    <w:rsid w:val="3FB83028"/>
    <w:rsid w:val="3FBD063E"/>
    <w:rsid w:val="3FC512A1"/>
    <w:rsid w:val="3FC714BD"/>
    <w:rsid w:val="3FCB2D5B"/>
    <w:rsid w:val="3FDA34B1"/>
    <w:rsid w:val="3FDB2873"/>
    <w:rsid w:val="3FE931E1"/>
    <w:rsid w:val="3FF12096"/>
    <w:rsid w:val="4013230F"/>
    <w:rsid w:val="40363F4D"/>
    <w:rsid w:val="40381A73"/>
    <w:rsid w:val="403B7942"/>
    <w:rsid w:val="40662A84"/>
    <w:rsid w:val="406C796F"/>
    <w:rsid w:val="4084115C"/>
    <w:rsid w:val="40923879"/>
    <w:rsid w:val="409F5F96"/>
    <w:rsid w:val="40A62E81"/>
    <w:rsid w:val="40B13F89"/>
    <w:rsid w:val="40C81C57"/>
    <w:rsid w:val="40D20119"/>
    <w:rsid w:val="40DC4AF4"/>
    <w:rsid w:val="40EF2A79"/>
    <w:rsid w:val="410E7DF5"/>
    <w:rsid w:val="413B5B4D"/>
    <w:rsid w:val="414A7CB0"/>
    <w:rsid w:val="414C1C7A"/>
    <w:rsid w:val="4154318A"/>
    <w:rsid w:val="41641184"/>
    <w:rsid w:val="41696778"/>
    <w:rsid w:val="416F5968"/>
    <w:rsid w:val="417B255F"/>
    <w:rsid w:val="41AD09C3"/>
    <w:rsid w:val="41C05228"/>
    <w:rsid w:val="41CA04D7"/>
    <w:rsid w:val="41D22621"/>
    <w:rsid w:val="41D43A1D"/>
    <w:rsid w:val="41DD28D2"/>
    <w:rsid w:val="41FB7F39"/>
    <w:rsid w:val="41FD0500"/>
    <w:rsid w:val="42051E29"/>
    <w:rsid w:val="420662CD"/>
    <w:rsid w:val="4207456D"/>
    <w:rsid w:val="42097B6B"/>
    <w:rsid w:val="421502BE"/>
    <w:rsid w:val="425154F8"/>
    <w:rsid w:val="42547A8F"/>
    <w:rsid w:val="42644DA1"/>
    <w:rsid w:val="429A07C3"/>
    <w:rsid w:val="42A7230A"/>
    <w:rsid w:val="42ED2FE9"/>
    <w:rsid w:val="43000F6E"/>
    <w:rsid w:val="43030A5E"/>
    <w:rsid w:val="430F7403"/>
    <w:rsid w:val="43346222"/>
    <w:rsid w:val="435F0AA0"/>
    <w:rsid w:val="437A5885"/>
    <w:rsid w:val="439E6277"/>
    <w:rsid w:val="43B600AD"/>
    <w:rsid w:val="43C06BC1"/>
    <w:rsid w:val="43E371ED"/>
    <w:rsid w:val="43EA7528"/>
    <w:rsid w:val="43F108B7"/>
    <w:rsid w:val="43FE4C25"/>
    <w:rsid w:val="440419F3"/>
    <w:rsid w:val="440F4262"/>
    <w:rsid w:val="441E4D86"/>
    <w:rsid w:val="4436451B"/>
    <w:rsid w:val="446F063A"/>
    <w:rsid w:val="4484797D"/>
    <w:rsid w:val="448D5A8D"/>
    <w:rsid w:val="44973A9C"/>
    <w:rsid w:val="44986059"/>
    <w:rsid w:val="44A818BD"/>
    <w:rsid w:val="44B55D88"/>
    <w:rsid w:val="44C74826"/>
    <w:rsid w:val="44CF19E1"/>
    <w:rsid w:val="44D02BC2"/>
    <w:rsid w:val="44D0720B"/>
    <w:rsid w:val="44D07D4A"/>
    <w:rsid w:val="44D53D34"/>
    <w:rsid w:val="453018B3"/>
    <w:rsid w:val="45442C68"/>
    <w:rsid w:val="454676EB"/>
    <w:rsid w:val="45487509"/>
    <w:rsid w:val="45541CEF"/>
    <w:rsid w:val="456B4699"/>
    <w:rsid w:val="45770EAB"/>
    <w:rsid w:val="458F482B"/>
    <w:rsid w:val="45B86BF9"/>
    <w:rsid w:val="45BB117C"/>
    <w:rsid w:val="45C06792"/>
    <w:rsid w:val="45F02746"/>
    <w:rsid w:val="45F0690E"/>
    <w:rsid w:val="45F610F0"/>
    <w:rsid w:val="45F91CA4"/>
    <w:rsid w:val="45FB3C6E"/>
    <w:rsid w:val="460366D7"/>
    <w:rsid w:val="4609638B"/>
    <w:rsid w:val="460C3316"/>
    <w:rsid w:val="46280371"/>
    <w:rsid w:val="462D6A65"/>
    <w:rsid w:val="463827CD"/>
    <w:rsid w:val="46530576"/>
    <w:rsid w:val="465D33BE"/>
    <w:rsid w:val="465D3D30"/>
    <w:rsid w:val="46647A66"/>
    <w:rsid w:val="46916381"/>
    <w:rsid w:val="46945A20"/>
    <w:rsid w:val="469800C1"/>
    <w:rsid w:val="469A6FE4"/>
    <w:rsid w:val="46A3401E"/>
    <w:rsid w:val="46CC1167"/>
    <w:rsid w:val="46D85D5E"/>
    <w:rsid w:val="46F57797"/>
    <w:rsid w:val="46FB137F"/>
    <w:rsid w:val="46FC37FA"/>
    <w:rsid w:val="471C718B"/>
    <w:rsid w:val="4738351D"/>
    <w:rsid w:val="475950F1"/>
    <w:rsid w:val="476D46F8"/>
    <w:rsid w:val="477261B2"/>
    <w:rsid w:val="477C3E4E"/>
    <w:rsid w:val="477E6905"/>
    <w:rsid w:val="478C7274"/>
    <w:rsid w:val="47C83E49"/>
    <w:rsid w:val="47D97FDF"/>
    <w:rsid w:val="47E32FBE"/>
    <w:rsid w:val="47E50732"/>
    <w:rsid w:val="48054198"/>
    <w:rsid w:val="481E3C44"/>
    <w:rsid w:val="482E1FB6"/>
    <w:rsid w:val="48380768"/>
    <w:rsid w:val="4840005F"/>
    <w:rsid w:val="484A4A39"/>
    <w:rsid w:val="484E277B"/>
    <w:rsid w:val="485E04E5"/>
    <w:rsid w:val="48627850"/>
    <w:rsid w:val="488F12B1"/>
    <w:rsid w:val="489451D8"/>
    <w:rsid w:val="48965ED0"/>
    <w:rsid w:val="48CE261D"/>
    <w:rsid w:val="48F331AB"/>
    <w:rsid w:val="48F75EC4"/>
    <w:rsid w:val="49227764"/>
    <w:rsid w:val="493C2BF3"/>
    <w:rsid w:val="4941408E"/>
    <w:rsid w:val="49431BB4"/>
    <w:rsid w:val="49601FEE"/>
    <w:rsid w:val="49853754"/>
    <w:rsid w:val="49BA799D"/>
    <w:rsid w:val="49BE4C60"/>
    <w:rsid w:val="49F92273"/>
    <w:rsid w:val="4A0550BC"/>
    <w:rsid w:val="4A0D21C2"/>
    <w:rsid w:val="4A1134A2"/>
    <w:rsid w:val="4A2B43F6"/>
    <w:rsid w:val="4A325785"/>
    <w:rsid w:val="4A3610D9"/>
    <w:rsid w:val="4A4E23DD"/>
    <w:rsid w:val="4A510301"/>
    <w:rsid w:val="4A5A3216"/>
    <w:rsid w:val="4A713F14"/>
    <w:rsid w:val="4A732ADF"/>
    <w:rsid w:val="4A7364C9"/>
    <w:rsid w:val="4A7D4C52"/>
    <w:rsid w:val="4A963F66"/>
    <w:rsid w:val="4A96711A"/>
    <w:rsid w:val="4AB4049F"/>
    <w:rsid w:val="4AB80380"/>
    <w:rsid w:val="4AC81B75"/>
    <w:rsid w:val="4B0215FB"/>
    <w:rsid w:val="4B022FAF"/>
    <w:rsid w:val="4B3B1EDD"/>
    <w:rsid w:val="4B6127C6"/>
    <w:rsid w:val="4B6E0279"/>
    <w:rsid w:val="4B7A3887"/>
    <w:rsid w:val="4B7E5126"/>
    <w:rsid w:val="4B895879"/>
    <w:rsid w:val="4B8B339F"/>
    <w:rsid w:val="4B951B65"/>
    <w:rsid w:val="4BB17956"/>
    <w:rsid w:val="4BD05255"/>
    <w:rsid w:val="4BE807F1"/>
    <w:rsid w:val="4BFE5D6A"/>
    <w:rsid w:val="4C147916"/>
    <w:rsid w:val="4C3D6555"/>
    <w:rsid w:val="4C673E0C"/>
    <w:rsid w:val="4C6B2B37"/>
    <w:rsid w:val="4C6C1422"/>
    <w:rsid w:val="4CAF7561"/>
    <w:rsid w:val="4CBA4BAD"/>
    <w:rsid w:val="4CE94821"/>
    <w:rsid w:val="4CEC4311"/>
    <w:rsid w:val="4CF308FD"/>
    <w:rsid w:val="4D1F0243"/>
    <w:rsid w:val="4D6E4D26"/>
    <w:rsid w:val="4D926C66"/>
    <w:rsid w:val="4DAB5F7A"/>
    <w:rsid w:val="4DB017E2"/>
    <w:rsid w:val="4DC863E5"/>
    <w:rsid w:val="4DCA5A51"/>
    <w:rsid w:val="4DE05CFA"/>
    <w:rsid w:val="4DE12E81"/>
    <w:rsid w:val="4E3623AD"/>
    <w:rsid w:val="4E6D1482"/>
    <w:rsid w:val="4E7D7917"/>
    <w:rsid w:val="4EAB5275"/>
    <w:rsid w:val="4EAC3D58"/>
    <w:rsid w:val="4EC015B1"/>
    <w:rsid w:val="4ECC43FA"/>
    <w:rsid w:val="4ECF7A46"/>
    <w:rsid w:val="4ED16A53"/>
    <w:rsid w:val="4EEB16E6"/>
    <w:rsid w:val="4EFA0F67"/>
    <w:rsid w:val="4F0B3174"/>
    <w:rsid w:val="4F0C303F"/>
    <w:rsid w:val="4F2D7040"/>
    <w:rsid w:val="4F45117A"/>
    <w:rsid w:val="4F4626F3"/>
    <w:rsid w:val="4F4915A7"/>
    <w:rsid w:val="4F4A3571"/>
    <w:rsid w:val="4F5D32A4"/>
    <w:rsid w:val="4F701229"/>
    <w:rsid w:val="4F727FD6"/>
    <w:rsid w:val="4F824AB9"/>
    <w:rsid w:val="4F840831"/>
    <w:rsid w:val="4F876573"/>
    <w:rsid w:val="4FA26F09"/>
    <w:rsid w:val="4FAE58AE"/>
    <w:rsid w:val="4FB71297"/>
    <w:rsid w:val="4FD5108C"/>
    <w:rsid w:val="4FE92CD6"/>
    <w:rsid w:val="50221C17"/>
    <w:rsid w:val="502C5EFA"/>
    <w:rsid w:val="502D0274"/>
    <w:rsid w:val="50406E4E"/>
    <w:rsid w:val="50416722"/>
    <w:rsid w:val="504A1E5D"/>
    <w:rsid w:val="504D5094"/>
    <w:rsid w:val="50574197"/>
    <w:rsid w:val="506153AC"/>
    <w:rsid w:val="507620AE"/>
    <w:rsid w:val="5099655E"/>
    <w:rsid w:val="50A224C3"/>
    <w:rsid w:val="50A61FFF"/>
    <w:rsid w:val="50E023DF"/>
    <w:rsid w:val="50E35A2B"/>
    <w:rsid w:val="50F1639A"/>
    <w:rsid w:val="51257DF2"/>
    <w:rsid w:val="51271DBC"/>
    <w:rsid w:val="513F7105"/>
    <w:rsid w:val="51477D68"/>
    <w:rsid w:val="514A5AAA"/>
    <w:rsid w:val="514C35D0"/>
    <w:rsid w:val="515801C7"/>
    <w:rsid w:val="51593B8D"/>
    <w:rsid w:val="516140B5"/>
    <w:rsid w:val="51644DBE"/>
    <w:rsid w:val="516F654A"/>
    <w:rsid w:val="517D0766"/>
    <w:rsid w:val="518C7E71"/>
    <w:rsid w:val="518F39BC"/>
    <w:rsid w:val="51C969CF"/>
    <w:rsid w:val="51CB2747"/>
    <w:rsid w:val="51E9437A"/>
    <w:rsid w:val="51FA74D0"/>
    <w:rsid w:val="51FF6894"/>
    <w:rsid w:val="5200269E"/>
    <w:rsid w:val="5200380D"/>
    <w:rsid w:val="523227C6"/>
    <w:rsid w:val="52374280"/>
    <w:rsid w:val="524D7600"/>
    <w:rsid w:val="527C3337"/>
    <w:rsid w:val="527E1EAF"/>
    <w:rsid w:val="527E5A0B"/>
    <w:rsid w:val="52AF2069"/>
    <w:rsid w:val="52B14033"/>
    <w:rsid w:val="52B7716F"/>
    <w:rsid w:val="52C673B2"/>
    <w:rsid w:val="52D96C1A"/>
    <w:rsid w:val="52E31D12"/>
    <w:rsid w:val="52E4399A"/>
    <w:rsid w:val="531445C2"/>
    <w:rsid w:val="531935A4"/>
    <w:rsid w:val="53446D7D"/>
    <w:rsid w:val="53517039"/>
    <w:rsid w:val="536524C3"/>
    <w:rsid w:val="536A36BC"/>
    <w:rsid w:val="536D1F1D"/>
    <w:rsid w:val="537312E8"/>
    <w:rsid w:val="538277A4"/>
    <w:rsid w:val="53A019B1"/>
    <w:rsid w:val="53AF7E46"/>
    <w:rsid w:val="53C51035"/>
    <w:rsid w:val="53C9715A"/>
    <w:rsid w:val="53CF4A5C"/>
    <w:rsid w:val="53D041D1"/>
    <w:rsid w:val="53F525B4"/>
    <w:rsid w:val="53FA7069"/>
    <w:rsid w:val="53FB4CCB"/>
    <w:rsid w:val="54014B46"/>
    <w:rsid w:val="540262EE"/>
    <w:rsid w:val="54244390"/>
    <w:rsid w:val="542645AC"/>
    <w:rsid w:val="54305A86"/>
    <w:rsid w:val="543D5452"/>
    <w:rsid w:val="54547DDA"/>
    <w:rsid w:val="546450D5"/>
    <w:rsid w:val="54684BC5"/>
    <w:rsid w:val="548425AE"/>
    <w:rsid w:val="54877D10"/>
    <w:rsid w:val="549239F0"/>
    <w:rsid w:val="54A13C33"/>
    <w:rsid w:val="54A84FC1"/>
    <w:rsid w:val="54B0031A"/>
    <w:rsid w:val="54B020C8"/>
    <w:rsid w:val="54B576DE"/>
    <w:rsid w:val="54CF3934"/>
    <w:rsid w:val="54F00716"/>
    <w:rsid w:val="55024449"/>
    <w:rsid w:val="55085BEA"/>
    <w:rsid w:val="55086FD1"/>
    <w:rsid w:val="550D3076"/>
    <w:rsid w:val="55172147"/>
    <w:rsid w:val="55410BF9"/>
    <w:rsid w:val="554271C4"/>
    <w:rsid w:val="55794BB0"/>
    <w:rsid w:val="557E3F74"/>
    <w:rsid w:val="5594498E"/>
    <w:rsid w:val="5596306C"/>
    <w:rsid w:val="55A57753"/>
    <w:rsid w:val="55A84294"/>
    <w:rsid w:val="55AC288F"/>
    <w:rsid w:val="55AC40A5"/>
    <w:rsid w:val="55AD03B6"/>
    <w:rsid w:val="55B1434A"/>
    <w:rsid w:val="55BF6A67"/>
    <w:rsid w:val="55D12054"/>
    <w:rsid w:val="55DA6596"/>
    <w:rsid w:val="560C77D2"/>
    <w:rsid w:val="560F537A"/>
    <w:rsid w:val="5613290E"/>
    <w:rsid w:val="56224489"/>
    <w:rsid w:val="565D4368"/>
    <w:rsid w:val="56603960"/>
    <w:rsid w:val="56625644"/>
    <w:rsid w:val="56690780"/>
    <w:rsid w:val="566B274A"/>
    <w:rsid w:val="566D0271"/>
    <w:rsid w:val="567A298E"/>
    <w:rsid w:val="569C2904"/>
    <w:rsid w:val="56A0017C"/>
    <w:rsid w:val="56A1616C"/>
    <w:rsid w:val="56A33C92"/>
    <w:rsid w:val="56BC4D54"/>
    <w:rsid w:val="56C3571A"/>
    <w:rsid w:val="56DB5BC3"/>
    <w:rsid w:val="56E83D9B"/>
    <w:rsid w:val="56F72230"/>
    <w:rsid w:val="56FA5260"/>
    <w:rsid w:val="572823EA"/>
    <w:rsid w:val="57286C16"/>
    <w:rsid w:val="574C257C"/>
    <w:rsid w:val="5755438D"/>
    <w:rsid w:val="57825F9E"/>
    <w:rsid w:val="578F4217"/>
    <w:rsid w:val="578F4443"/>
    <w:rsid w:val="57925AB5"/>
    <w:rsid w:val="57AD70E7"/>
    <w:rsid w:val="57AE1395"/>
    <w:rsid w:val="57B8364E"/>
    <w:rsid w:val="57C95893"/>
    <w:rsid w:val="57CD4D3F"/>
    <w:rsid w:val="581609FA"/>
    <w:rsid w:val="581D1822"/>
    <w:rsid w:val="582E3A30"/>
    <w:rsid w:val="58304C51"/>
    <w:rsid w:val="5835523D"/>
    <w:rsid w:val="58367DCB"/>
    <w:rsid w:val="583F5C3D"/>
    <w:rsid w:val="58434038"/>
    <w:rsid w:val="585C21EE"/>
    <w:rsid w:val="587177C3"/>
    <w:rsid w:val="588405A5"/>
    <w:rsid w:val="5898534D"/>
    <w:rsid w:val="589917F1"/>
    <w:rsid w:val="589C4E3D"/>
    <w:rsid w:val="58BE2FCB"/>
    <w:rsid w:val="58D41C07"/>
    <w:rsid w:val="58E93DFA"/>
    <w:rsid w:val="58F44C79"/>
    <w:rsid w:val="59080725"/>
    <w:rsid w:val="59123DF1"/>
    <w:rsid w:val="591B2F0C"/>
    <w:rsid w:val="59352B9C"/>
    <w:rsid w:val="594828CF"/>
    <w:rsid w:val="594A7F41"/>
    <w:rsid w:val="596811C3"/>
    <w:rsid w:val="59786F11"/>
    <w:rsid w:val="598B2F92"/>
    <w:rsid w:val="598F25C7"/>
    <w:rsid w:val="59937540"/>
    <w:rsid w:val="59A039F6"/>
    <w:rsid w:val="59AA336E"/>
    <w:rsid w:val="59B63CDD"/>
    <w:rsid w:val="59D30873"/>
    <w:rsid w:val="59E60C99"/>
    <w:rsid w:val="59E940B2"/>
    <w:rsid w:val="59F45AD3"/>
    <w:rsid w:val="59F760A3"/>
    <w:rsid w:val="5A00764E"/>
    <w:rsid w:val="5A274BDA"/>
    <w:rsid w:val="5A5534F6"/>
    <w:rsid w:val="5A637F6F"/>
    <w:rsid w:val="5A70032F"/>
    <w:rsid w:val="5A7A29E2"/>
    <w:rsid w:val="5AAC6D3A"/>
    <w:rsid w:val="5AB83A84"/>
    <w:rsid w:val="5ABD72ED"/>
    <w:rsid w:val="5AC661A1"/>
    <w:rsid w:val="5AC95C92"/>
    <w:rsid w:val="5AF076C2"/>
    <w:rsid w:val="5AFC1BC3"/>
    <w:rsid w:val="5B055025"/>
    <w:rsid w:val="5B2D7810"/>
    <w:rsid w:val="5B3F5F54"/>
    <w:rsid w:val="5B423A25"/>
    <w:rsid w:val="5B6D486F"/>
    <w:rsid w:val="5B70435F"/>
    <w:rsid w:val="5BD14DFE"/>
    <w:rsid w:val="5BD4669C"/>
    <w:rsid w:val="5BD743DE"/>
    <w:rsid w:val="5BEA5EBF"/>
    <w:rsid w:val="5BF44F90"/>
    <w:rsid w:val="5C121CA4"/>
    <w:rsid w:val="5C1271C4"/>
    <w:rsid w:val="5C1B42CB"/>
    <w:rsid w:val="5C5477DD"/>
    <w:rsid w:val="5C5A1297"/>
    <w:rsid w:val="5C602626"/>
    <w:rsid w:val="5C6519EA"/>
    <w:rsid w:val="5C9108EC"/>
    <w:rsid w:val="5C9936CF"/>
    <w:rsid w:val="5CAB38A1"/>
    <w:rsid w:val="5CAF2C65"/>
    <w:rsid w:val="5CB96085"/>
    <w:rsid w:val="5CC907DC"/>
    <w:rsid w:val="5CCC7122"/>
    <w:rsid w:val="5CE62A27"/>
    <w:rsid w:val="5CEE456C"/>
    <w:rsid w:val="5CF42D8C"/>
    <w:rsid w:val="5D5C7A80"/>
    <w:rsid w:val="5D6D0F8A"/>
    <w:rsid w:val="5D773862"/>
    <w:rsid w:val="5D7E7207"/>
    <w:rsid w:val="5D8A5BAC"/>
    <w:rsid w:val="5D9C7014"/>
    <w:rsid w:val="5DB66699"/>
    <w:rsid w:val="5DD93AB7"/>
    <w:rsid w:val="5DEC2163"/>
    <w:rsid w:val="5DEF78BB"/>
    <w:rsid w:val="5E40706E"/>
    <w:rsid w:val="5E622F17"/>
    <w:rsid w:val="5E806DB9"/>
    <w:rsid w:val="5EA53721"/>
    <w:rsid w:val="5EC40406"/>
    <w:rsid w:val="5ECC4F05"/>
    <w:rsid w:val="5EE86BEA"/>
    <w:rsid w:val="5EF84D97"/>
    <w:rsid w:val="5F074FDA"/>
    <w:rsid w:val="5F076D88"/>
    <w:rsid w:val="5F0A16C1"/>
    <w:rsid w:val="5F0E6369"/>
    <w:rsid w:val="5F182D44"/>
    <w:rsid w:val="5F212A6F"/>
    <w:rsid w:val="5F35264F"/>
    <w:rsid w:val="5F396F19"/>
    <w:rsid w:val="5F41673E"/>
    <w:rsid w:val="5F6E375A"/>
    <w:rsid w:val="5F887EC9"/>
    <w:rsid w:val="5F943190"/>
    <w:rsid w:val="5F9E149B"/>
    <w:rsid w:val="5FAA5F75"/>
    <w:rsid w:val="5FCA6734"/>
    <w:rsid w:val="5FDD1A0A"/>
    <w:rsid w:val="5FE377F5"/>
    <w:rsid w:val="5FFA2BA8"/>
    <w:rsid w:val="5FFD7619"/>
    <w:rsid w:val="602816AC"/>
    <w:rsid w:val="604364E6"/>
    <w:rsid w:val="604A78F6"/>
    <w:rsid w:val="604C0766"/>
    <w:rsid w:val="605424A1"/>
    <w:rsid w:val="60A07D32"/>
    <w:rsid w:val="60A26D69"/>
    <w:rsid w:val="60A46FF9"/>
    <w:rsid w:val="60AD570E"/>
    <w:rsid w:val="60AF592A"/>
    <w:rsid w:val="60B151FE"/>
    <w:rsid w:val="60C2565D"/>
    <w:rsid w:val="60C51A2C"/>
    <w:rsid w:val="60DB04CD"/>
    <w:rsid w:val="60F47354"/>
    <w:rsid w:val="60FF240D"/>
    <w:rsid w:val="61047A23"/>
    <w:rsid w:val="61077826"/>
    <w:rsid w:val="610E79A4"/>
    <w:rsid w:val="610E7EA6"/>
    <w:rsid w:val="613751C4"/>
    <w:rsid w:val="61761FA3"/>
    <w:rsid w:val="61785D1C"/>
    <w:rsid w:val="618446C0"/>
    <w:rsid w:val="618D5C6B"/>
    <w:rsid w:val="61B01959"/>
    <w:rsid w:val="61E33F36"/>
    <w:rsid w:val="61F45CEA"/>
    <w:rsid w:val="620A72BB"/>
    <w:rsid w:val="621F43E9"/>
    <w:rsid w:val="623B7475"/>
    <w:rsid w:val="623F0D34"/>
    <w:rsid w:val="62487DE4"/>
    <w:rsid w:val="625C5463"/>
    <w:rsid w:val="626F1110"/>
    <w:rsid w:val="627604AD"/>
    <w:rsid w:val="627B1F67"/>
    <w:rsid w:val="627B49FA"/>
    <w:rsid w:val="628030DA"/>
    <w:rsid w:val="62961CE2"/>
    <w:rsid w:val="62A468BF"/>
    <w:rsid w:val="62A56FE4"/>
    <w:rsid w:val="62A866D0"/>
    <w:rsid w:val="62BD60DC"/>
    <w:rsid w:val="62C7476E"/>
    <w:rsid w:val="62CC020C"/>
    <w:rsid w:val="62CC7726"/>
    <w:rsid w:val="62D41677"/>
    <w:rsid w:val="62EF025F"/>
    <w:rsid w:val="630006BE"/>
    <w:rsid w:val="63071A4D"/>
    <w:rsid w:val="6309447C"/>
    <w:rsid w:val="630A5A6D"/>
    <w:rsid w:val="631A52DC"/>
    <w:rsid w:val="6349639D"/>
    <w:rsid w:val="634C49D0"/>
    <w:rsid w:val="63554A0D"/>
    <w:rsid w:val="63754C08"/>
    <w:rsid w:val="63780255"/>
    <w:rsid w:val="638E68ED"/>
    <w:rsid w:val="63901A42"/>
    <w:rsid w:val="639D09CB"/>
    <w:rsid w:val="63B15515"/>
    <w:rsid w:val="63B87CBA"/>
    <w:rsid w:val="63C11333"/>
    <w:rsid w:val="63C60FC0"/>
    <w:rsid w:val="63C65464"/>
    <w:rsid w:val="63DC07E4"/>
    <w:rsid w:val="63F73BD7"/>
    <w:rsid w:val="63F92E9B"/>
    <w:rsid w:val="6424218B"/>
    <w:rsid w:val="64340620"/>
    <w:rsid w:val="64410F8F"/>
    <w:rsid w:val="646125FE"/>
    <w:rsid w:val="64682077"/>
    <w:rsid w:val="64790728"/>
    <w:rsid w:val="648570A1"/>
    <w:rsid w:val="648F5856"/>
    <w:rsid w:val="64972AB8"/>
    <w:rsid w:val="64A227CA"/>
    <w:rsid w:val="64DD4813"/>
    <w:rsid w:val="65180933"/>
    <w:rsid w:val="65362175"/>
    <w:rsid w:val="65566374"/>
    <w:rsid w:val="65766A16"/>
    <w:rsid w:val="65783F39"/>
    <w:rsid w:val="657C227E"/>
    <w:rsid w:val="659868BE"/>
    <w:rsid w:val="65C77271"/>
    <w:rsid w:val="65D11E9E"/>
    <w:rsid w:val="65DB7500"/>
    <w:rsid w:val="65DC4ACB"/>
    <w:rsid w:val="65DF4740"/>
    <w:rsid w:val="65E676F8"/>
    <w:rsid w:val="65EB7404"/>
    <w:rsid w:val="65F91B21"/>
    <w:rsid w:val="65FC662E"/>
    <w:rsid w:val="660356CA"/>
    <w:rsid w:val="660B2C94"/>
    <w:rsid w:val="66157FDD"/>
    <w:rsid w:val="661E50E3"/>
    <w:rsid w:val="662446C4"/>
    <w:rsid w:val="662D5327"/>
    <w:rsid w:val="662E1F6F"/>
    <w:rsid w:val="66477D34"/>
    <w:rsid w:val="66632F66"/>
    <w:rsid w:val="66650F64"/>
    <w:rsid w:val="666A657B"/>
    <w:rsid w:val="66A51361"/>
    <w:rsid w:val="66AC1B17"/>
    <w:rsid w:val="66AE2FFF"/>
    <w:rsid w:val="66BF24FD"/>
    <w:rsid w:val="66C8504F"/>
    <w:rsid w:val="66CD08B8"/>
    <w:rsid w:val="66E3632D"/>
    <w:rsid w:val="66E557FD"/>
    <w:rsid w:val="66F25116"/>
    <w:rsid w:val="670352EA"/>
    <w:rsid w:val="670C7632"/>
    <w:rsid w:val="6727621A"/>
    <w:rsid w:val="672D1356"/>
    <w:rsid w:val="673D5A3D"/>
    <w:rsid w:val="67550FD9"/>
    <w:rsid w:val="67796A82"/>
    <w:rsid w:val="67BE674E"/>
    <w:rsid w:val="67D620F8"/>
    <w:rsid w:val="68014955"/>
    <w:rsid w:val="681503E6"/>
    <w:rsid w:val="681A18DB"/>
    <w:rsid w:val="68330BEE"/>
    <w:rsid w:val="68511756"/>
    <w:rsid w:val="68784853"/>
    <w:rsid w:val="68AC43E6"/>
    <w:rsid w:val="68B47F81"/>
    <w:rsid w:val="68D0468F"/>
    <w:rsid w:val="68E87C2B"/>
    <w:rsid w:val="68F30B42"/>
    <w:rsid w:val="690540BF"/>
    <w:rsid w:val="691B1DAE"/>
    <w:rsid w:val="69450BD9"/>
    <w:rsid w:val="695157D0"/>
    <w:rsid w:val="69603C65"/>
    <w:rsid w:val="69833F84"/>
    <w:rsid w:val="698711F2"/>
    <w:rsid w:val="6994393A"/>
    <w:rsid w:val="69AF73BD"/>
    <w:rsid w:val="69B144C0"/>
    <w:rsid w:val="69B813AB"/>
    <w:rsid w:val="69C340F2"/>
    <w:rsid w:val="69C441F4"/>
    <w:rsid w:val="6A274783"/>
    <w:rsid w:val="6A3A2708"/>
    <w:rsid w:val="6A4021D8"/>
    <w:rsid w:val="6A7774B8"/>
    <w:rsid w:val="6A7B3AA6"/>
    <w:rsid w:val="6AA13260"/>
    <w:rsid w:val="6AA16168"/>
    <w:rsid w:val="6ABE0C43"/>
    <w:rsid w:val="6ACB7804"/>
    <w:rsid w:val="6AD541DF"/>
    <w:rsid w:val="6AF44665"/>
    <w:rsid w:val="6B0A20DA"/>
    <w:rsid w:val="6B18335E"/>
    <w:rsid w:val="6B8359E9"/>
    <w:rsid w:val="6B9D4CFC"/>
    <w:rsid w:val="6BA0659B"/>
    <w:rsid w:val="6BBA3B00"/>
    <w:rsid w:val="6BBB2524"/>
    <w:rsid w:val="6BBF5037"/>
    <w:rsid w:val="6BCE4EB6"/>
    <w:rsid w:val="6BE02E3B"/>
    <w:rsid w:val="6BF608B1"/>
    <w:rsid w:val="6C06596F"/>
    <w:rsid w:val="6C0E5BFA"/>
    <w:rsid w:val="6C2076DB"/>
    <w:rsid w:val="6C3F7B62"/>
    <w:rsid w:val="6C4909E0"/>
    <w:rsid w:val="6C496C32"/>
    <w:rsid w:val="6C4C04D0"/>
    <w:rsid w:val="6C54385C"/>
    <w:rsid w:val="6C5C4BB7"/>
    <w:rsid w:val="6C5F1FB2"/>
    <w:rsid w:val="6C7E559F"/>
    <w:rsid w:val="6C87555A"/>
    <w:rsid w:val="6C952FB6"/>
    <w:rsid w:val="6CD209D6"/>
    <w:rsid w:val="6CD609CA"/>
    <w:rsid w:val="6CE122CE"/>
    <w:rsid w:val="6CF7668E"/>
    <w:rsid w:val="6D107750"/>
    <w:rsid w:val="6D321474"/>
    <w:rsid w:val="6D3B2A1F"/>
    <w:rsid w:val="6D3E7B94"/>
    <w:rsid w:val="6D444A97"/>
    <w:rsid w:val="6D6D6950"/>
    <w:rsid w:val="6D83283D"/>
    <w:rsid w:val="6D8A5754"/>
    <w:rsid w:val="6D8E41FC"/>
    <w:rsid w:val="6DB06FF1"/>
    <w:rsid w:val="6DE11F42"/>
    <w:rsid w:val="6DF8036A"/>
    <w:rsid w:val="6DFB5D0A"/>
    <w:rsid w:val="6E5921B9"/>
    <w:rsid w:val="6E5F44EB"/>
    <w:rsid w:val="6E804461"/>
    <w:rsid w:val="6E8D6DF3"/>
    <w:rsid w:val="6EA6211A"/>
    <w:rsid w:val="6EC16F54"/>
    <w:rsid w:val="6EC86534"/>
    <w:rsid w:val="6ECC4E9C"/>
    <w:rsid w:val="6ECF6B20"/>
    <w:rsid w:val="6EFF1A27"/>
    <w:rsid w:val="6F0155A2"/>
    <w:rsid w:val="6F1C779D"/>
    <w:rsid w:val="6F3E040D"/>
    <w:rsid w:val="6F771D08"/>
    <w:rsid w:val="6F7E141F"/>
    <w:rsid w:val="6FA81EC2"/>
    <w:rsid w:val="6FC84312"/>
    <w:rsid w:val="6FF15617"/>
    <w:rsid w:val="6FFD4727"/>
    <w:rsid w:val="7003534A"/>
    <w:rsid w:val="70117A67"/>
    <w:rsid w:val="70291255"/>
    <w:rsid w:val="708E3A71"/>
    <w:rsid w:val="70AE175A"/>
    <w:rsid w:val="70C4708B"/>
    <w:rsid w:val="70C66AA3"/>
    <w:rsid w:val="711C4915"/>
    <w:rsid w:val="71297032"/>
    <w:rsid w:val="713752AB"/>
    <w:rsid w:val="714479C8"/>
    <w:rsid w:val="7157594D"/>
    <w:rsid w:val="715B116D"/>
    <w:rsid w:val="715C6E4A"/>
    <w:rsid w:val="715F4802"/>
    <w:rsid w:val="71614A1E"/>
    <w:rsid w:val="71763E02"/>
    <w:rsid w:val="71812380"/>
    <w:rsid w:val="7189187F"/>
    <w:rsid w:val="718F158B"/>
    <w:rsid w:val="71963B10"/>
    <w:rsid w:val="719941B8"/>
    <w:rsid w:val="71B43FF9"/>
    <w:rsid w:val="71BE3C1E"/>
    <w:rsid w:val="71CD3E62"/>
    <w:rsid w:val="71EC42E8"/>
    <w:rsid w:val="72121874"/>
    <w:rsid w:val="72225F5B"/>
    <w:rsid w:val="72270127"/>
    <w:rsid w:val="72273572"/>
    <w:rsid w:val="72655E48"/>
    <w:rsid w:val="72710C91"/>
    <w:rsid w:val="727D5888"/>
    <w:rsid w:val="728974C3"/>
    <w:rsid w:val="7295497F"/>
    <w:rsid w:val="72A03324"/>
    <w:rsid w:val="72AB6D5F"/>
    <w:rsid w:val="72B2004F"/>
    <w:rsid w:val="72B34E05"/>
    <w:rsid w:val="72C60FDD"/>
    <w:rsid w:val="72D312E6"/>
    <w:rsid w:val="72E476B5"/>
    <w:rsid w:val="7309711B"/>
    <w:rsid w:val="731C6EFD"/>
    <w:rsid w:val="732D4F74"/>
    <w:rsid w:val="73337CF4"/>
    <w:rsid w:val="733A72D5"/>
    <w:rsid w:val="734A6E8D"/>
    <w:rsid w:val="737A14CF"/>
    <w:rsid w:val="738911A2"/>
    <w:rsid w:val="73DA4614"/>
    <w:rsid w:val="73ED07EB"/>
    <w:rsid w:val="742C30C1"/>
    <w:rsid w:val="74471CA9"/>
    <w:rsid w:val="747D1765"/>
    <w:rsid w:val="74940C67"/>
    <w:rsid w:val="74986D1A"/>
    <w:rsid w:val="74B15375"/>
    <w:rsid w:val="74B75CE7"/>
    <w:rsid w:val="74BD1F6B"/>
    <w:rsid w:val="74C01C92"/>
    <w:rsid w:val="74D26AE8"/>
    <w:rsid w:val="75114065"/>
    <w:rsid w:val="75461F61"/>
    <w:rsid w:val="75466405"/>
    <w:rsid w:val="754D5C67"/>
    <w:rsid w:val="755C3532"/>
    <w:rsid w:val="755E374E"/>
    <w:rsid w:val="758B3E18"/>
    <w:rsid w:val="75982C83"/>
    <w:rsid w:val="75994786"/>
    <w:rsid w:val="759A405B"/>
    <w:rsid w:val="75B136A4"/>
    <w:rsid w:val="75B55338"/>
    <w:rsid w:val="75CC76EF"/>
    <w:rsid w:val="75DB213B"/>
    <w:rsid w:val="75E8126A"/>
    <w:rsid w:val="761152BC"/>
    <w:rsid w:val="76215F9C"/>
    <w:rsid w:val="762B1026"/>
    <w:rsid w:val="762B73A9"/>
    <w:rsid w:val="76346CE5"/>
    <w:rsid w:val="76515061"/>
    <w:rsid w:val="765B7164"/>
    <w:rsid w:val="766034F6"/>
    <w:rsid w:val="76893B88"/>
    <w:rsid w:val="77122E6F"/>
    <w:rsid w:val="7735228D"/>
    <w:rsid w:val="773A5AF5"/>
    <w:rsid w:val="773D55E5"/>
    <w:rsid w:val="77514BED"/>
    <w:rsid w:val="7758241F"/>
    <w:rsid w:val="775A7F45"/>
    <w:rsid w:val="775F34D3"/>
    <w:rsid w:val="776204D1"/>
    <w:rsid w:val="77626DFA"/>
    <w:rsid w:val="776C14F0"/>
    <w:rsid w:val="777A2396"/>
    <w:rsid w:val="77846D70"/>
    <w:rsid w:val="77975BED"/>
    <w:rsid w:val="779C230C"/>
    <w:rsid w:val="77BC475C"/>
    <w:rsid w:val="77BF249E"/>
    <w:rsid w:val="77C90C27"/>
    <w:rsid w:val="77D62D81"/>
    <w:rsid w:val="77D93560"/>
    <w:rsid w:val="77E963B5"/>
    <w:rsid w:val="780D1FCA"/>
    <w:rsid w:val="781D72B5"/>
    <w:rsid w:val="78393FFF"/>
    <w:rsid w:val="784B788E"/>
    <w:rsid w:val="78615304"/>
    <w:rsid w:val="787A4CD3"/>
    <w:rsid w:val="78A551F0"/>
    <w:rsid w:val="78CA10FB"/>
    <w:rsid w:val="78F02670"/>
    <w:rsid w:val="79134850"/>
    <w:rsid w:val="791F31F5"/>
    <w:rsid w:val="79231CC3"/>
    <w:rsid w:val="792A1B99"/>
    <w:rsid w:val="793C6D8A"/>
    <w:rsid w:val="79407A62"/>
    <w:rsid w:val="79465083"/>
    <w:rsid w:val="794669D3"/>
    <w:rsid w:val="794B1A7D"/>
    <w:rsid w:val="794D2D86"/>
    <w:rsid w:val="7962698E"/>
    <w:rsid w:val="796F4C09"/>
    <w:rsid w:val="797C37AC"/>
    <w:rsid w:val="79974DFF"/>
    <w:rsid w:val="79BF322E"/>
    <w:rsid w:val="79C8388C"/>
    <w:rsid w:val="79D57D57"/>
    <w:rsid w:val="79F426E3"/>
    <w:rsid w:val="7A036672"/>
    <w:rsid w:val="7A0917AF"/>
    <w:rsid w:val="7A1253F6"/>
    <w:rsid w:val="7A431165"/>
    <w:rsid w:val="7A4F18B8"/>
    <w:rsid w:val="7A642FEE"/>
    <w:rsid w:val="7A770E0E"/>
    <w:rsid w:val="7A9C0875"/>
    <w:rsid w:val="7AA45FB6"/>
    <w:rsid w:val="7AAC160F"/>
    <w:rsid w:val="7ABC51E6"/>
    <w:rsid w:val="7AC34054"/>
    <w:rsid w:val="7AD46261"/>
    <w:rsid w:val="7AD85D51"/>
    <w:rsid w:val="7AFE1296"/>
    <w:rsid w:val="7B022DCE"/>
    <w:rsid w:val="7B072192"/>
    <w:rsid w:val="7B0F54EB"/>
    <w:rsid w:val="7B2D2AA7"/>
    <w:rsid w:val="7B30793B"/>
    <w:rsid w:val="7B3B502D"/>
    <w:rsid w:val="7B3D1CC7"/>
    <w:rsid w:val="7B413172"/>
    <w:rsid w:val="7B46684D"/>
    <w:rsid w:val="7B4A207F"/>
    <w:rsid w:val="7B586F7C"/>
    <w:rsid w:val="7B593278"/>
    <w:rsid w:val="7B5F3D7C"/>
    <w:rsid w:val="7B610DB2"/>
    <w:rsid w:val="7B783090"/>
    <w:rsid w:val="7B8D37DB"/>
    <w:rsid w:val="7B901215"/>
    <w:rsid w:val="7B9463F7"/>
    <w:rsid w:val="7B95779E"/>
    <w:rsid w:val="7BB302F8"/>
    <w:rsid w:val="7BB368BD"/>
    <w:rsid w:val="7BB51BEE"/>
    <w:rsid w:val="7BCC6F38"/>
    <w:rsid w:val="7BDC361F"/>
    <w:rsid w:val="7BE67FFA"/>
    <w:rsid w:val="7BF22D26"/>
    <w:rsid w:val="7BFA5853"/>
    <w:rsid w:val="7C0D1A2A"/>
    <w:rsid w:val="7C217284"/>
    <w:rsid w:val="7C296138"/>
    <w:rsid w:val="7C2B1EB0"/>
    <w:rsid w:val="7C6929D9"/>
    <w:rsid w:val="7C704248"/>
    <w:rsid w:val="7C773348"/>
    <w:rsid w:val="7C8141C6"/>
    <w:rsid w:val="7C8B294F"/>
    <w:rsid w:val="7CA67C6C"/>
    <w:rsid w:val="7CB93960"/>
    <w:rsid w:val="7CE131F6"/>
    <w:rsid w:val="7CF528A5"/>
    <w:rsid w:val="7D0E21AB"/>
    <w:rsid w:val="7D127336"/>
    <w:rsid w:val="7D20753B"/>
    <w:rsid w:val="7D3354C1"/>
    <w:rsid w:val="7D504DD1"/>
    <w:rsid w:val="7D5316BF"/>
    <w:rsid w:val="7D6A3EE0"/>
    <w:rsid w:val="7D6A6067"/>
    <w:rsid w:val="7D7358BD"/>
    <w:rsid w:val="7D7E4262"/>
    <w:rsid w:val="7D82629E"/>
    <w:rsid w:val="7D8F12A8"/>
    <w:rsid w:val="7D935F5F"/>
    <w:rsid w:val="7DB67EA0"/>
    <w:rsid w:val="7DC425BD"/>
    <w:rsid w:val="7DE646F8"/>
    <w:rsid w:val="7DFD5ACF"/>
    <w:rsid w:val="7E0C4548"/>
    <w:rsid w:val="7E745D91"/>
    <w:rsid w:val="7E792749"/>
    <w:rsid w:val="7E7A49CB"/>
    <w:rsid w:val="7E7F2165"/>
    <w:rsid w:val="7E915EB0"/>
    <w:rsid w:val="7E9A331D"/>
    <w:rsid w:val="7EA70B62"/>
    <w:rsid w:val="7EAD3051"/>
    <w:rsid w:val="7ECD724F"/>
    <w:rsid w:val="7EEE3597"/>
    <w:rsid w:val="7F052E8D"/>
    <w:rsid w:val="7F0A3FFF"/>
    <w:rsid w:val="7F231011"/>
    <w:rsid w:val="7F403EC5"/>
    <w:rsid w:val="7F5A54BE"/>
    <w:rsid w:val="7F743B6E"/>
    <w:rsid w:val="7F820039"/>
    <w:rsid w:val="7F842003"/>
    <w:rsid w:val="7F961D37"/>
    <w:rsid w:val="7FC70142"/>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link w:val="66"/>
    <w:autoRedefine/>
    <w:qFormat/>
    <w:uiPriority w:val="0"/>
    <w:pPr>
      <w:keepNext/>
      <w:keepLines/>
      <w:spacing w:before="340" w:after="330" w:line="578" w:lineRule="auto"/>
      <w:outlineLvl w:val="0"/>
    </w:pPr>
    <w:rPr>
      <w:b/>
      <w:kern w:val="44"/>
      <w:sz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5"/>
    <w:autoRedefine/>
    <w:qFormat/>
    <w:uiPriority w:val="0"/>
    <w:pPr>
      <w:keepNext/>
      <w:keepLines/>
      <w:spacing w:before="260" w:after="260" w:line="416" w:lineRule="auto"/>
      <w:outlineLvl w:val="2"/>
    </w:pPr>
    <w:rPr>
      <w:b/>
      <w:sz w:val="32"/>
    </w:rPr>
  </w:style>
  <w:style w:type="paragraph" w:styleId="6">
    <w:name w:val="heading 4"/>
    <w:basedOn w:val="1"/>
    <w:next w:val="5"/>
    <w:autoRedefine/>
    <w:qFormat/>
    <w:uiPriority w:val="0"/>
    <w:pPr>
      <w:keepNext/>
      <w:spacing w:line="460" w:lineRule="exact"/>
      <w:jc w:val="both"/>
      <w:outlineLvl w:val="3"/>
    </w:pPr>
    <w:rPr>
      <w:rFonts w:ascii="宋体"/>
      <w:sz w:val="24"/>
    </w:rPr>
  </w:style>
  <w:style w:type="paragraph" w:styleId="7">
    <w:name w:val="heading 5"/>
    <w:basedOn w:val="1"/>
    <w:next w:val="5"/>
    <w:autoRedefine/>
    <w:qFormat/>
    <w:uiPriority w:val="0"/>
    <w:pPr>
      <w:keepNext/>
      <w:keepLines/>
      <w:widowControl w:val="0"/>
      <w:spacing w:before="280" w:after="290" w:line="376" w:lineRule="auto"/>
      <w:jc w:val="both"/>
      <w:outlineLvl w:val="4"/>
    </w:pPr>
    <w:rPr>
      <w:b/>
      <w:kern w:val="2"/>
      <w:sz w:val="24"/>
    </w:rPr>
  </w:style>
  <w:style w:type="paragraph" w:styleId="8">
    <w:name w:val="heading 6"/>
    <w:basedOn w:val="1"/>
    <w:next w:val="5"/>
    <w:autoRedefine/>
    <w:qFormat/>
    <w:uiPriority w:val="0"/>
    <w:pPr>
      <w:keepNext/>
      <w:keepLines/>
      <w:widowControl w:val="0"/>
      <w:tabs>
        <w:tab w:val="left" w:pos="360"/>
      </w:tabs>
      <w:spacing w:before="240" w:after="64" w:line="320" w:lineRule="auto"/>
      <w:ind w:left="360" w:hanging="360"/>
      <w:jc w:val="both"/>
      <w:outlineLvl w:val="5"/>
    </w:pPr>
    <w:rPr>
      <w:rFonts w:ascii="Arial" w:hAnsi="Arial" w:eastAsia="黑体"/>
      <w:b/>
      <w:kern w:val="2"/>
      <w:sz w:val="24"/>
    </w:rPr>
  </w:style>
  <w:style w:type="paragraph" w:styleId="9">
    <w:name w:val="heading 7"/>
    <w:basedOn w:val="1"/>
    <w:next w:val="5"/>
    <w:autoRedefine/>
    <w:qFormat/>
    <w:uiPriority w:val="0"/>
    <w:pPr>
      <w:keepNext/>
      <w:keepLines/>
      <w:widowControl w:val="0"/>
      <w:tabs>
        <w:tab w:val="left" w:pos="360"/>
      </w:tabs>
      <w:spacing w:before="240" w:after="64" w:line="320" w:lineRule="auto"/>
      <w:ind w:left="360" w:hanging="360"/>
      <w:jc w:val="both"/>
      <w:outlineLvl w:val="6"/>
    </w:pPr>
    <w:rPr>
      <w:b/>
      <w:kern w:val="2"/>
      <w:sz w:val="24"/>
    </w:rPr>
  </w:style>
  <w:style w:type="paragraph" w:styleId="10">
    <w:name w:val="heading 8"/>
    <w:basedOn w:val="1"/>
    <w:next w:val="5"/>
    <w:autoRedefine/>
    <w:qFormat/>
    <w:uiPriority w:val="0"/>
    <w:pPr>
      <w:keepNext/>
      <w:keepLines/>
      <w:widowControl w:val="0"/>
      <w:tabs>
        <w:tab w:val="left" w:pos="360"/>
      </w:tabs>
      <w:spacing w:before="240" w:after="64" w:line="320" w:lineRule="auto"/>
      <w:ind w:left="360" w:hanging="360"/>
      <w:jc w:val="both"/>
      <w:outlineLvl w:val="7"/>
    </w:pPr>
    <w:rPr>
      <w:rFonts w:ascii="Arial" w:hAnsi="Arial" w:eastAsia="黑体"/>
      <w:kern w:val="2"/>
      <w:sz w:val="24"/>
    </w:rPr>
  </w:style>
  <w:style w:type="paragraph" w:styleId="11">
    <w:name w:val="heading 9"/>
    <w:basedOn w:val="1"/>
    <w:next w:val="5"/>
    <w:autoRedefine/>
    <w:qFormat/>
    <w:uiPriority w:val="0"/>
    <w:pPr>
      <w:keepNext/>
      <w:keepLines/>
      <w:widowControl w:val="0"/>
      <w:tabs>
        <w:tab w:val="left" w:pos="360"/>
      </w:tabs>
      <w:spacing w:before="240" w:after="64" w:line="320" w:lineRule="auto"/>
      <w:ind w:left="360" w:hanging="360"/>
      <w:jc w:val="both"/>
      <w:outlineLvl w:val="8"/>
    </w:pPr>
    <w:rPr>
      <w:rFonts w:ascii="Arial" w:hAnsi="Arial" w:eastAsia="黑体"/>
      <w:kern w:val="2"/>
      <w:sz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style>
  <w:style w:type="paragraph" w:styleId="12">
    <w:name w:val="toc 7"/>
    <w:basedOn w:val="1"/>
    <w:next w:val="1"/>
    <w:autoRedefine/>
    <w:qFormat/>
    <w:uiPriority w:val="0"/>
    <w:pPr>
      <w:ind w:left="1200"/>
    </w:pPr>
    <w:rPr>
      <w:rFonts w:ascii="Calibri" w:hAnsi="Calibri" w:cs="Calibri"/>
      <w:sz w:val="18"/>
      <w:szCs w:val="18"/>
    </w:rPr>
  </w:style>
  <w:style w:type="paragraph" w:styleId="13">
    <w:name w:val="Document Map"/>
    <w:basedOn w:val="1"/>
    <w:autoRedefine/>
    <w:semiHidden/>
    <w:qFormat/>
    <w:uiPriority w:val="0"/>
    <w:pPr>
      <w:shd w:val="clear" w:color="auto" w:fill="000080"/>
    </w:pPr>
  </w:style>
  <w:style w:type="paragraph" w:styleId="14">
    <w:name w:val="annotation text"/>
    <w:basedOn w:val="1"/>
    <w:link w:val="141"/>
    <w:autoRedefine/>
    <w:semiHidden/>
    <w:qFormat/>
    <w:uiPriority w:val="0"/>
  </w:style>
  <w:style w:type="paragraph" w:styleId="15">
    <w:name w:val="Body Text 3"/>
    <w:basedOn w:val="1"/>
    <w:autoRedefine/>
    <w:qFormat/>
    <w:uiPriority w:val="0"/>
    <w:pPr>
      <w:spacing w:after="120"/>
    </w:pPr>
    <w:rPr>
      <w:sz w:val="16"/>
      <w:szCs w:val="16"/>
    </w:rPr>
  </w:style>
  <w:style w:type="paragraph" w:styleId="16">
    <w:name w:val="Body Text"/>
    <w:basedOn w:val="1"/>
    <w:next w:val="1"/>
    <w:link w:val="75"/>
    <w:autoRedefine/>
    <w:qFormat/>
    <w:uiPriority w:val="0"/>
    <w:pPr>
      <w:spacing w:after="120"/>
    </w:pPr>
  </w:style>
  <w:style w:type="paragraph" w:styleId="17">
    <w:name w:val="Body Text Indent"/>
    <w:basedOn w:val="1"/>
    <w:autoRedefine/>
    <w:qFormat/>
    <w:uiPriority w:val="0"/>
    <w:pPr>
      <w:spacing w:after="120"/>
      <w:ind w:left="420" w:leftChars="200"/>
    </w:pPr>
  </w:style>
  <w:style w:type="paragraph" w:styleId="18">
    <w:name w:val="List 2"/>
    <w:basedOn w:val="1"/>
    <w:autoRedefine/>
    <w:qFormat/>
    <w:uiPriority w:val="0"/>
    <w:pPr>
      <w:widowControl w:val="0"/>
      <w:adjustRightInd w:val="0"/>
      <w:spacing w:line="360" w:lineRule="auto"/>
      <w:jc w:val="both"/>
      <w:textAlignment w:val="baseline"/>
    </w:pPr>
    <w:rPr>
      <w:sz w:val="24"/>
    </w:rPr>
  </w:style>
  <w:style w:type="paragraph" w:styleId="19">
    <w:name w:val="Block Text"/>
    <w:basedOn w:val="1"/>
    <w:next w:val="1"/>
    <w:autoRedefine/>
    <w:qFormat/>
    <w:uiPriority w:val="0"/>
    <w:pPr>
      <w:widowControl w:val="0"/>
      <w:ind w:left="1155" w:right="40" w:rightChars="19"/>
      <w:jc w:val="both"/>
    </w:pPr>
    <w:rPr>
      <w:kern w:val="2"/>
      <w:sz w:val="21"/>
      <w:szCs w:val="24"/>
    </w:rPr>
  </w:style>
  <w:style w:type="paragraph" w:styleId="20">
    <w:name w:val="toc 5"/>
    <w:basedOn w:val="1"/>
    <w:next w:val="1"/>
    <w:autoRedefine/>
    <w:qFormat/>
    <w:uiPriority w:val="0"/>
    <w:pPr>
      <w:ind w:left="800"/>
    </w:pPr>
    <w:rPr>
      <w:rFonts w:ascii="Calibri" w:hAnsi="Calibri" w:cs="Calibri"/>
      <w:sz w:val="18"/>
      <w:szCs w:val="18"/>
    </w:rPr>
  </w:style>
  <w:style w:type="paragraph" w:styleId="21">
    <w:name w:val="toc 3"/>
    <w:basedOn w:val="1"/>
    <w:next w:val="1"/>
    <w:autoRedefine/>
    <w:semiHidden/>
    <w:qFormat/>
    <w:uiPriority w:val="0"/>
    <w:pPr>
      <w:ind w:left="400"/>
    </w:pPr>
    <w:rPr>
      <w:rFonts w:ascii="Calibri" w:hAnsi="Calibri" w:cs="Calibri"/>
      <w:i/>
      <w:iCs/>
    </w:rPr>
  </w:style>
  <w:style w:type="paragraph" w:styleId="22">
    <w:name w:val="Plain Text"/>
    <w:basedOn w:val="1"/>
    <w:link w:val="76"/>
    <w:autoRedefine/>
    <w:qFormat/>
    <w:uiPriority w:val="0"/>
    <w:rPr>
      <w:rFonts w:ascii="宋体" w:hAnsi="Courier New" w:cs="Century"/>
      <w:sz w:val="21"/>
      <w:szCs w:val="21"/>
    </w:rPr>
  </w:style>
  <w:style w:type="paragraph" w:styleId="23">
    <w:name w:val="toc 8"/>
    <w:basedOn w:val="1"/>
    <w:next w:val="1"/>
    <w:autoRedefine/>
    <w:qFormat/>
    <w:uiPriority w:val="0"/>
    <w:pPr>
      <w:ind w:left="1400"/>
    </w:pPr>
    <w:rPr>
      <w:rFonts w:ascii="Calibri" w:hAnsi="Calibri" w:cs="Calibri"/>
      <w:sz w:val="18"/>
      <w:szCs w:val="18"/>
    </w:rPr>
  </w:style>
  <w:style w:type="paragraph" w:styleId="24">
    <w:name w:val="Date"/>
    <w:basedOn w:val="1"/>
    <w:next w:val="1"/>
    <w:link w:val="73"/>
    <w:autoRedefine/>
    <w:qFormat/>
    <w:uiPriority w:val="0"/>
    <w:pPr>
      <w:jc w:val="both"/>
    </w:pPr>
    <w:rPr>
      <w:rFonts w:ascii="宋体"/>
      <w:sz w:val="24"/>
    </w:rPr>
  </w:style>
  <w:style w:type="paragraph" w:styleId="25">
    <w:name w:val="Body Text Indent 2"/>
    <w:basedOn w:val="1"/>
    <w:autoRedefine/>
    <w:qFormat/>
    <w:uiPriority w:val="0"/>
    <w:pPr>
      <w:spacing w:after="120" w:line="480" w:lineRule="auto"/>
      <w:ind w:left="420" w:leftChars="200"/>
    </w:pPr>
  </w:style>
  <w:style w:type="paragraph" w:styleId="26">
    <w:name w:val="Balloon Text"/>
    <w:basedOn w:val="1"/>
    <w:autoRedefine/>
    <w:semiHidden/>
    <w:qFormat/>
    <w:uiPriority w:val="0"/>
    <w:rPr>
      <w:sz w:val="18"/>
      <w:szCs w:val="18"/>
    </w:rPr>
  </w:style>
  <w:style w:type="paragraph" w:styleId="27">
    <w:name w:val="footer"/>
    <w:basedOn w:val="1"/>
    <w:autoRedefine/>
    <w:qFormat/>
    <w:uiPriority w:val="99"/>
    <w:pPr>
      <w:tabs>
        <w:tab w:val="center" w:pos="4153"/>
        <w:tab w:val="right" w:pos="8306"/>
      </w:tabs>
      <w:snapToGrid w:val="0"/>
    </w:pPr>
    <w:rPr>
      <w:sz w:val="18"/>
    </w:rPr>
  </w:style>
  <w:style w:type="paragraph" w:styleId="28">
    <w:name w:val="header"/>
    <w:basedOn w:val="1"/>
    <w:link w:val="84"/>
    <w:autoRedefine/>
    <w:qFormat/>
    <w:uiPriority w:val="99"/>
    <w:pPr>
      <w:pBdr>
        <w:bottom w:val="single" w:color="auto" w:sz="6" w:space="1"/>
      </w:pBdr>
      <w:tabs>
        <w:tab w:val="center" w:pos="4153"/>
        <w:tab w:val="right" w:pos="8306"/>
      </w:tabs>
      <w:snapToGrid w:val="0"/>
      <w:jc w:val="center"/>
    </w:pPr>
    <w:rPr>
      <w:sz w:val="18"/>
    </w:rPr>
  </w:style>
  <w:style w:type="paragraph" w:styleId="29">
    <w:name w:val="toc 1"/>
    <w:basedOn w:val="1"/>
    <w:next w:val="1"/>
    <w:autoRedefine/>
    <w:qFormat/>
    <w:uiPriority w:val="39"/>
    <w:pPr>
      <w:spacing w:before="120" w:after="120"/>
    </w:pPr>
    <w:rPr>
      <w:rFonts w:ascii="Calibri" w:hAnsi="Calibri" w:cs="Calibri"/>
      <w:b/>
      <w:bCs/>
      <w:caps/>
    </w:rPr>
  </w:style>
  <w:style w:type="paragraph" w:styleId="30">
    <w:name w:val="toc 4"/>
    <w:basedOn w:val="1"/>
    <w:next w:val="1"/>
    <w:autoRedefine/>
    <w:qFormat/>
    <w:uiPriority w:val="0"/>
    <w:pPr>
      <w:ind w:left="600"/>
    </w:pPr>
    <w:rPr>
      <w:rFonts w:ascii="Calibri" w:hAnsi="Calibri" w:cs="Calibri"/>
      <w:sz w:val="18"/>
      <w:szCs w:val="18"/>
    </w:rPr>
  </w:style>
  <w:style w:type="paragraph" w:styleId="31">
    <w:name w:val="List"/>
    <w:basedOn w:val="1"/>
    <w:autoRedefine/>
    <w:qFormat/>
    <w:uiPriority w:val="0"/>
    <w:pPr>
      <w:widowControl w:val="0"/>
      <w:adjustRightInd w:val="0"/>
      <w:spacing w:line="360" w:lineRule="auto"/>
      <w:jc w:val="both"/>
      <w:textAlignment w:val="baseline"/>
    </w:pPr>
    <w:rPr>
      <w:sz w:val="24"/>
    </w:rPr>
  </w:style>
  <w:style w:type="paragraph" w:styleId="32">
    <w:name w:val="Body Text Indent 3"/>
    <w:basedOn w:val="1"/>
    <w:autoRedefine/>
    <w:qFormat/>
    <w:uiPriority w:val="0"/>
    <w:pPr>
      <w:spacing w:after="120"/>
      <w:ind w:left="420" w:leftChars="200"/>
    </w:pPr>
    <w:rPr>
      <w:sz w:val="16"/>
      <w:szCs w:val="16"/>
    </w:rPr>
  </w:style>
  <w:style w:type="paragraph" w:styleId="33">
    <w:name w:val="toc 2"/>
    <w:basedOn w:val="1"/>
    <w:next w:val="1"/>
    <w:autoRedefine/>
    <w:qFormat/>
    <w:uiPriority w:val="39"/>
    <w:pPr>
      <w:ind w:left="200"/>
    </w:pPr>
    <w:rPr>
      <w:rFonts w:ascii="Calibri" w:hAnsi="Calibri" w:cs="Calibri"/>
      <w:smallCaps/>
    </w:rPr>
  </w:style>
  <w:style w:type="paragraph" w:styleId="34">
    <w:name w:val="toc 9"/>
    <w:basedOn w:val="1"/>
    <w:next w:val="1"/>
    <w:autoRedefine/>
    <w:qFormat/>
    <w:uiPriority w:val="0"/>
    <w:pPr>
      <w:ind w:left="1600"/>
    </w:pPr>
    <w:rPr>
      <w:rFonts w:ascii="Calibri" w:hAnsi="Calibri" w:cs="Calibri"/>
      <w:sz w:val="18"/>
      <w:szCs w:val="18"/>
    </w:rPr>
  </w:style>
  <w:style w:type="paragraph" w:styleId="35">
    <w:name w:val="Body Text 2"/>
    <w:basedOn w:val="1"/>
    <w:autoRedefine/>
    <w:qFormat/>
    <w:uiPriority w:val="0"/>
    <w:pPr>
      <w:spacing w:after="120" w:line="480" w:lineRule="auto"/>
    </w:pPr>
  </w:style>
  <w:style w:type="paragraph" w:styleId="36">
    <w:name w:val="Message Header"/>
    <w:basedOn w:val="1"/>
    <w:autoRedefine/>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80" w:leftChars="500" w:hanging="1080" w:hangingChars="500"/>
      <w:jc w:val="both"/>
    </w:pPr>
    <w:rPr>
      <w:rFonts w:ascii="Arial" w:hAnsi="Arial" w:cs="Arial"/>
      <w:kern w:val="2"/>
      <w:sz w:val="24"/>
      <w:szCs w:val="24"/>
    </w:rPr>
  </w:style>
  <w:style w:type="paragraph" w:styleId="37">
    <w:name w:val="Normal (Web)"/>
    <w:basedOn w:val="1"/>
    <w:autoRedefine/>
    <w:qFormat/>
    <w:uiPriority w:val="0"/>
    <w:rPr>
      <w:sz w:val="24"/>
      <w:szCs w:val="24"/>
    </w:rPr>
  </w:style>
  <w:style w:type="paragraph" w:styleId="38">
    <w:name w:val="index 1"/>
    <w:basedOn w:val="1"/>
    <w:next w:val="1"/>
    <w:autoRedefine/>
    <w:semiHidden/>
    <w:qFormat/>
    <w:uiPriority w:val="0"/>
  </w:style>
  <w:style w:type="paragraph" w:styleId="39">
    <w:name w:val="Title"/>
    <w:basedOn w:val="1"/>
    <w:autoRedefine/>
    <w:qFormat/>
    <w:uiPriority w:val="1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0">
    <w:name w:val="annotation subject"/>
    <w:basedOn w:val="14"/>
    <w:next w:val="14"/>
    <w:link w:val="142"/>
    <w:autoRedefine/>
    <w:semiHidden/>
    <w:unhideWhenUsed/>
    <w:qFormat/>
    <w:uiPriority w:val="0"/>
    <w:rPr>
      <w:b/>
      <w:bCs/>
    </w:rPr>
  </w:style>
  <w:style w:type="paragraph" w:styleId="41">
    <w:name w:val="Body Text First Indent"/>
    <w:basedOn w:val="16"/>
    <w:next w:val="1"/>
    <w:autoRedefine/>
    <w:qFormat/>
    <w:uiPriority w:val="0"/>
    <w:pPr>
      <w:widowControl w:val="0"/>
      <w:adjustRightInd w:val="0"/>
      <w:spacing w:after="0" w:line="312" w:lineRule="auto"/>
      <w:ind w:firstLine="567"/>
      <w:jc w:val="both"/>
      <w:textAlignment w:val="baseline"/>
    </w:pPr>
    <w:rPr>
      <w:sz w:val="28"/>
    </w:rPr>
  </w:style>
  <w:style w:type="paragraph" w:styleId="42">
    <w:name w:val="Body Text First Indent 2"/>
    <w:basedOn w:val="17"/>
    <w:autoRedefine/>
    <w:qFormat/>
    <w:uiPriority w:val="0"/>
    <w:pPr>
      <w:tabs>
        <w:tab w:val="left" w:pos="360"/>
      </w:tabs>
      <w:ind w:firstLine="420"/>
    </w:pPr>
    <w:rPr>
      <w:rFonts w:ascii="仿宋_GB2312" w:eastAsia="仿宋_GB2312"/>
      <w:sz w:val="24"/>
    </w:rPr>
  </w:style>
  <w:style w:type="table" w:styleId="44">
    <w:name w:val="Table Grid"/>
    <w:basedOn w:val="4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autoRedefine/>
    <w:qFormat/>
    <w:uiPriority w:val="0"/>
    <w:rPr>
      <w:b/>
      <w:bCs/>
    </w:rPr>
  </w:style>
  <w:style w:type="character" w:styleId="47">
    <w:name w:val="page number"/>
    <w:basedOn w:val="45"/>
    <w:autoRedefine/>
    <w:qFormat/>
    <w:uiPriority w:val="0"/>
  </w:style>
  <w:style w:type="character" w:styleId="48">
    <w:name w:val="FollowedHyperlink"/>
    <w:basedOn w:val="45"/>
    <w:autoRedefine/>
    <w:qFormat/>
    <w:uiPriority w:val="99"/>
    <w:rPr>
      <w:color w:val="800080"/>
      <w:u w:val="none"/>
    </w:rPr>
  </w:style>
  <w:style w:type="character" w:styleId="49">
    <w:name w:val="Emphasis"/>
    <w:basedOn w:val="45"/>
    <w:autoRedefine/>
    <w:qFormat/>
    <w:uiPriority w:val="0"/>
  </w:style>
  <w:style w:type="character" w:styleId="50">
    <w:name w:val="line number"/>
    <w:basedOn w:val="45"/>
    <w:autoRedefine/>
    <w:qFormat/>
    <w:uiPriority w:val="0"/>
  </w:style>
  <w:style w:type="character" w:styleId="51">
    <w:name w:val="HTML Definition"/>
    <w:basedOn w:val="45"/>
    <w:autoRedefine/>
    <w:semiHidden/>
    <w:unhideWhenUsed/>
    <w:qFormat/>
    <w:uiPriority w:val="0"/>
  </w:style>
  <w:style w:type="character" w:styleId="52">
    <w:name w:val="HTML Typewriter"/>
    <w:basedOn w:val="45"/>
    <w:autoRedefine/>
    <w:semiHidden/>
    <w:unhideWhenUsed/>
    <w:qFormat/>
    <w:uiPriority w:val="0"/>
    <w:rPr>
      <w:rFonts w:hint="default" w:ascii="monospace" w:hAnsi="monospace" w:eastAsia="monospace" w:cs="monospace"/>
      <w:sz w:val="20"/>
    </w:rPr>
  </w:style>
  <w:style w:type="character" w:styleId="53">
    <w:name w:val="HTML Acronym"/>
    <w:basedOn w:val="45"/>
    <w:autoRedefine/>
    <w:semiHidden/>
    <w:unhideWhenUsed/>
    <w:qFormat/>
    <w:uiPriority w:val="0"/>
  </w:style>
  <w:style w:type="character" w:styleId="54">
    <w:name w:val="HTML Variable"/>
    <w:basedOn w:val="45"/>
    <w:autoRedefine/>
    <w:semiHidden/>
    <w:unhideWhenUsed/>
    <w:qFormat/>
    <w:uiPriority w:val="0"/>
  </w:style>
  <w:style w:type="character" w:styleId="55">
    <w:name w:val="Hyperlink"/>
    <w:basedOn w:val="45"/>
    <w:autoRedefine/>
    <w:qFormat/>
    <w:uiPriority w:val="99"/>
    <w:rPr>
      <w:color w:val="0000FF"/>
      <w:u w:val="none"/>
    </w:rPr>
  </w:style>
  <w:style w:type="character" w:styleId="56">
    <w:name w:val="HTML Code"/>
    <w:basedOn w:val="45"/>
    <w:autoRedefine/>
    <w:semiHidden/>
    <w:unhideWhenUsed/>
    <w:qFormat/>
    <w:uiPriority w:val="0"/>
    <w:rPr>
      <w:rFonts w:hint="default" w:ascii="monospace" w:hAnsi="monospace" w:eastAsia="monospace" w:cs="monospace"/>
      <w:sz w:val="20"/>
    </w:rPr>
  </w:style>
  <w:style w:type="character" w:styleId="57">
    <w:name w:val="annotation reference"/>
    <w:basedOn w:val="45"/>
    <w:autoRedefine/>
    <w:semiHidden/>
    <w:unhideWhenUsed/>
    <w:qFormat/>
    <w:uiPriority w:val="0"/>
    <w:rPr>
      <w:sz w:val="21"/>
      <w:szCs w:val="21"/>
    </w:rPr>
  </w:style>
  <w:style w:type="character" w:styleId="58">
    <w:name w:val="HTML Cite"/>
    <w:basedOn w:val="45"/>
    <w:autoRedefine/>
    <w:semiHidden/>
    <w:unhideWhenUsed/>
    <w:qFormat/>
    <w:uiPriority w:val="0"/>
  </w:style>
  <w:style w:type="character" w:styleId="59">
    <w:name w:val="HTML Keyboard"/>
    <w:basedOn w:val="45"/>
    <w:autoRedefine/>
    <w:semiHidden/>
    <w:unhideWhenUsed/>
    <w:qFormat/>
    <w:uiPriority w:val="0"/>
    <w:rPr>
      <w:rFonts w:ascii="monospace" w:hAnsi="monospace" w:eastAsia="monospace" w:cs="monospace"/>
      <w:sz w:val="20"/>
    </w:rPr>
  </w:style>
  <w:style w:type="character" w:styleId="60">
    <w:name w:val="HTML Sample"/>
    <w:basedOn w:val="45"/>
    <w:autoRedefine/>
    <w:semiHidden/>
    <w:unhideWhenUsed/>
    <w:qFormat/>
    <w:uiPriority w:val="0"/>
    <w:rPr>
      <w:rFonts w:hint="default" w:ascii="monospace" w:hAnsi="monospace" w:eastAsia="monospace" w:cs="monospace"/>
    </w:rPr>
  </w:style>
  <w:style w:type="paragraph" w:customStyle="1" w:styleId="61">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3">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64">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65">
    <w:name w:val="首行缩进"/>
    <w:basedOn w:val="1"/>
    <w:autoRedefine/>
    <w:qFormat/>
    <w:uiPriority w:val="0"/>
    <w:pPr>
      <w:tabs>
        <w:tab w:val="left" w:pos="540"/>
      </w:tabs>
      <w:spacing w:line="360" w:lineRule="auto"/>
    </w:pPr>
    <w:rPr>
      <w:rFonts w:eastAsia="仿宋_GB2312"/>
    </w:rPr>
  </w:style>
  <w:style w:type="character" w:customStyle="1" w:styleId="66">
    <w:name w:val="标题 1 字符"/>
    <w:basedOn w:val="45"/>
    <w:link w:val="2"/>
    <w:autoRedefine/>
    <w:qFormat/>
    <w:uiPriority w:val="0"/>
    <w:rPr>
      <w:b/>
      <w:kern w:val="44"/>
      <w:sz w:val="44"/>
    </w:rPr>
  </w:style>
  <w:style w:type="character" w:customStyle="1" w:styleId="67">
    <w:name w:val="普通文字 Char Char"/>
    <w:autoRedefine/>
    <w:qFormat/>
    <w:uiPriority w:val="0"/>
    <w:rPr>
      <w:rFonts w:ascii="宋体" w:hAnsi="Courier New" w:eastAsia="宋体" w:cs="Century"/>
      <w:sz w:val="21"/>
      <w:szCs w:val="21"/>
      <w:lang w:val="en-US" w:eastAsia="zh-CN" w:bidi="ar-SA"/>
    </w:rPr>
  </w:style>
  <w:style w:type="character" w:customStyle="1" w:styleId="68">
    <w:name w:val="font11"/>
    <w:basedOn w:val="45"/>
    <w:autoRedefine/>
    <w:qFormat/>
    <w:uiPriority w:val="0"/>
    <w:rPr>
      <w:rFonts w:hint="eastAsia" w:ascii="宋体" w:hAnsi="宋体" w:eastAsia="宋体" w:cs="宋体"/>
      <w:color w:val="000000"/>
      <w:sz w:val="22"/>
      <w:szCs w:val="22"/>
      <w:u w:val="none"/>
    </w:rPr>
  </w:style>
  <w:style w:type="character" w:customStyle="1" w:styleId="69">
    <w:name w:val="正文文本 Char"/>
    <w:autoRedefine/>
    <w:qFormat/>
    <w:uiPriority w:val="0"/>
    <w:rPr>
      <w:rFonts w:eastAsia="宋体"/>
      <w:lang w:val="en-US" w:eastAsia="zh-CN" w:bidi="ar-SA"/>
    </w:rPr>
  </w:style>
  <w:style w:type="character" w:customStyle="1" w:styleId="70">
    <w:name w:val="引用 字符"/>
    <w:basedOn w:val="45"/>
    <w:link w:val="71"/>
    <w:autoRedefine/>
    <w:qFormat/>
    <w:uiPriority w:val="29"/>
    <w:rPr>
      <w:i/>
      <w:iCs/>
      <w:color w:val="000000"/>
    </w:rPr>
  </w:style>
  <w:style w:type="paragraph" w:styleId="71">
    <w:name w:val="Quote"/>
    <w:basedOn w:val="1"/>
    <w:next w:val="1"/>
    <w:link w:val="70"/>
    <w:autoRedefine/>
    <w:qFormat/>
    <w:uiPriority w:val="29"/>
    <w:rPr>
      <w:i/>
      <w:iCs/>
      <w:color w:val="000000"/>
    </w:rPr>
  </w:style>
  <w:style w:type="character" w:customStyle="1" w:styleId="72">
    <w:name w:val="text"/>
    <w:basedOn w:val="45"/>
    <w:autoRedefine/>
    <w:qFormat/>
    <w:uiPriority w:val="0"/>
  </w:style>
  <w:style w:type="character" w:customStyle="1" w:styleId="73">
    <w:name w:val="日期 字符"/>
    <w:basedOn w:val="45"/>
    <w:link w:val="24"/>
    <w:autoRedefine/>
    <w:qFormat/>
    <w:uiPriority w:val="0"/>
    <w:rPr>
      <w:rFonts w:ascii="宋体"/>
      <w:sz w:val="24"/>
    </w:rPr>
  </w:style>
  <w:style w:type="character" w:customStyle="1" w:styleId="74">
    <w:name w:val="titlestyle10831"/>
    <w:basedOn w:val="45"/>
    <w:autoRedefine/>
    <w:qFormat/>
    <w:uiPriority w:val="0"/>
    <w:rPr>
      <w:rFonts w:hint="eastAsia" w:ascii="黑体" w:hAnsi="黑体" w:eastAsia="黑体"/>
      <w:b/>
      <w:bCs/>
      <w:sz w:val="36"/>
      <w:szCs w:val="36"/>
    </w:rPr>
  </w:style>
  <w:style w:type="character" w:customStyle="1" w:styleId="75">
    <w:name w:val="正文文本 字符"/>
    <w:basedOn w:val="45"/>
    <w:link w:val="16"/>
    <w:autoRedefine/>
    <w:qFormat/>
    <w:uiPriority w:val="0"/>
    <w:rPr>
      <w:rFonts w:eastAsia="宋体"/>
      <w:lang w:val="en-US" w:eastAsia="zh-CN" w:bidi="ar-SA"/>
    </w:rPr>
  </w:style>
  <w:style w:type="character" w:customStyle="1" w:styleId="76">
    <w:name w:val="纯文本 字符"/>
    <w:basedOn w:val="45"/>
    <w:link w:val="22"/>
    <w:autoRedefine/>
    <w:qFormat/>
    <w:uiPriority w:val="0"/>
    <w:rPr>
      <w:rFonts w:ascii="宋体" w:hAnsi="Courier New" w:eastAsia="宋体" w:cs="Century"/>
      <w:sz w:val="21"/>
      <w:szCs w:val="21"/>
      <w:lang w:val="en-US" w:eastAsia="zh-CN" w:bidi="ar-SA"/>
    </w:rPr>
  </w:style>
  <w:style w:type="character" w:customStyle="1" w:styleId="77">
    <w:name w:val="apple-tab-span"/>
    <w:basedOn w:val="45"/>
    <w:autoRedefine/>
    <w:qFormat/>
    <w:uiPriority w:val="0"/>
  </w:style>
  <w:style w:type="character" w:customStyle="1" w:styleId="78">
    <w:name w:val="Char Char Char"/>
    <w:basedOn w:val="45"/>
    <w:autoRedefine/>
    <w:qFormat/>
    <w:uiPriority w:val="0"/>
    <w:rPr>
      <w:rFonts w:ascii="宋体" w:hAnsi="Courier New" w:eastAsia="宋体"/>
      <w:kern w:val="2"/>
      <w:sz w:val="24"/>
      <w:lang w:val="en-US" w:eastAsia="zh-CN" w:bidi="ar-SA"/>
    </w:rPr>
  </w:style>
  <w:style w:type="character" w:customStyle="1" w:styleId="79">
    <w:name w:val="para"/>
    <w:basedOn w:val="45"/>
    <w:autoRedefine/>
    <w:qFormat/>
    <w:uiPriority w:val="0"/>
  </w:style>
  <w:style w:type="character" w:customStyle="1" w:styleId="80">
    <w:name w:val="main14"/>
    <w:basedOn w:val="45"/>
    <w:autoRedefine/>
    <w:qFormat/>
    <w:uiPriority w:val="0"/>
  </w:style>
  <w:style w:type="character" w:customStyle="1" w:styleId="81">
    <w:name w:val="title_emph"/>
    <w:basedOn w:val="45"/>
    <w:autoRedefine/>
    <w:qFormat/>
    <w:uiPriority w:val="0"/>
  </w:style>
  <w:style w:type="character" w:customStyle="1" w:styleId="82">
    <w:name w:val="font01"/>
    <w:basedOn w:val="45"/>
    <w:autoRedefine/>
    <w:qFormat/>
    <w:uiPriority w:val="0"/>
    <w:rPr>
      <w:rFonts w:hint="eastAsia" w:ascii="宋体" w:hAnsi="宋体" w:eastAsia="宋体" w:cs="宋体"/>
      <w:color w:val="000000"/>
      <w:sz w:val="22"/>
      <w:szCs w:val="22"/>
      <w:u w:val="none"/>
    </w:rPr>
  </w:style>
  <w:style w:type="paragraph" w:customStyle="1" w:styleId="83">
    <w:name w:val="È±Ê¡ÎÄ±¾"/>
    <w:basedOn w:val="1"/>
    <w:autoRedefine/>
    <w:qFormat/>
    <w:uiPriority w:val="0"/>
    <w:pPr>
      <w:overflowPunct w:val="0"/>
      <w:autoSpaceDE w:val="0"/>
      <w:autoSpaceDN w:val="0"/>
      <w:adjustRightInd w:val="0"/>
      <w:textAlignment w:val="baseline"/>
    </w:pPr>
    <w:rPr>
      <w:sz w:val="24"/>
    </w:rPr>
  </w:style>
  <w:style w:type="character" w:customStyle="1" w:styleId="84">
    <w:name w:val="页眉 字符"/>
    <w:basedOn w:val="45"/>
    <w:link w:val="28"/>
    <w:autoRedefine/>
    <w:qFormat/>
    <w:uiPriority w:val="99"/>
    <w:rPr>
      <w:sz w:val="18"/>
    </w:rPr>
  </w:style>
  <w:style w:type="paragraph" w:customStyle="1" w:styleId="85">
    <w:name w:val="Char Char Char Char"/>
    <w:basedOn w:val="1"/>
    <w:autoRedefine/>
    <w:qFormat/>
    <w:uiPriority w:val="0"/>
    <w:pPr>
      <w:widowControl w:val="0"/>
      <w:jc w:val="both"/>
    </w:pPr>
    <w:rPr>
      <w:rFonts w:ascii="Tahoma" w:hAnsi="Tahoma"/>
      <w:kern w:val="2"/>
      <w:sz w:val="24"/>
    </w:rPr>
  </w:style>
  <w:style w:type="paragraph" w:customStyle="1" w:styleId="86">
    <w:name w:val="1"/>
    <w:basedOn w:val="1"/>
    <w:next w:val="37"/>
    <w:autoRedefine/>
    <w:qFormat/>
    <w:uiPriority w:val="0"/>
    <w:pPr>
      <w:spacing w:before="100" w:beforeAutospacing="1" w:after="100" w:afterAutospacing="1"/>
    </w:pPr>
    <w:rPr>
      <w:rFonts w:ascii="宋体" w:hAnsi="宋体" w:cs="黑体"/>
      <w:sz w:val="24"/>
      <w:szCs w:val="24"/>
    </w:rPr>
  </w:style>
  <w:style w:type="paragraph" w:customStyle="1" w:styleId="87">
    <w:name w:val="正文文本缩进1"/>
    <w:basedOn w:val="1"/>
    <w:autoRedefine/>
    <w:qFormat/>
    <w:uiPriority w:val="0"/>
    <w:pPr>
      <w:widowControl w:val="0"/>
      <w:ind w:firstLine="560" w:firstLineChars="200"/>
      <w:jc w:val="both"/>
    </w:pPr>
    <w:rPr>
      <w:kern w:val="2"/>
      <w:sz w:val="28"/>
      <w:szCs w:val="28"/>
    </w:rPr>
  </w:style>
  <w:style w:type="paragraph" w:customStyle="1" w:styleId="88">
    <w:name w:val="IBM 正文"/>
    <w:basedOn w:val="1"/>
    <w:autoRedefine/>
    <w:qFormat/>
    <w:uiPriority w:val="0"/>
    <w:pPr>
      <w:widowControl w:val="0"/>
      <w:spacing w:line="400" w:lineRule="exact"/>
      <w:jc w:val="both"/>
    </w:pPr>
    <w:rPr>
      <w:spacing w:val="20"/>
      <w:kern w:val="2"/>
      <w:sz w:val="24"/>
    </w:rPr>
  </w:style>
  <w:style w:type="paragraph" w:customStyle="1" w:styleId="89">
    <w:name w:val="Char"/>
    <w:basedOn w:val="1"/>
    <w:autoRedefine/>
    <w:qFormat/>
    <w:uiPriority w:val="0"/>
    <w:pPr>
      <w:spacing w:after="160" w:line="240" w:lineRule="exact"/>
    </w:pPr>
    <w:rPr>
      <w:rFonts w:ascii="宋体" w:hAnsi="宋体"/>
      <w:lang w:eastAsia="en-US"/>
    </w:rPr>
  </w:style>
  <w:style w:type="paragraph" w:customStyle="1" w:styleId="90">
    <w:name w:val="样式2"/>
    <w:basedOn w:val="1"/>
    <w:autoRedefine/>
    <w:qFormat/>
    <w:uiPriority w:val="0"/>
    <w:pPr>
      <w:widowControl w:val="0"/>
      <w:jc w:val="both"/>
    </w:pPr>
    <w:rPr>
      <w:rFonts w:ascii="仿宋_GB2312" w:eastAsia="仿宋_GB2312"/>
      <w:kern w:val="2"/>
      <w:sz w:val="32"/>
    </w:rPr>
  </w:style>
  <w:style w:type="paragraph" w:customStyle="1" w:styleId="91">
    <w:name w:val="Blockquote"/>
    <w:basedOn w:val="1"/>
    <w:autoRedefine/>
    <w:qFormat/>
    <w:uiPriority w:val="0"/>
    <w:pPr>
      <w:widowControl w:val="0"/>
      <w:autoSpaceDE w:val="0"/>
      <w:autoSpaceDN w:val="0"/>
      <w:adjustRightInd w:val="0"/>
      <w:spacing w:before="100" w:after="100"/>
      <w:ind w:left="360" w:right="360"/>
    </w:pPr>
    <w:rPr>
      <w:sz w:val="24"/>
      <w:szCs w:val="24"/>
    </w:rPr>
  </w:style>
  <w:style w:type="paragraph" w:customStyle="1" w:styleId="92">
    <w:name w:val="Char Char Char1 Char"/>
    <w:basedOn w:val="1"/>
    <w:autoRedefine/>
    <w:qFormat/>
    <w:uiPriority w:val="0"/>
    <w:pPr>
      <w:widowControl w:val="0"/>
      <w:jc w:val="both"/>
    </w:pPr>
    <w:rPr>
      <w:rFonts w:ascii="Tahoma" w:hAnsi="Tahoma"/>
      <w:kern w:val="2"/>
      <w:sz w:val="24"/>
    </w:rPr>
  </w:style>
  <w:style w:type="paragraph" w:customStyle="1" w:styleId="93">
    <w:name w:val="缺省文本:1"/>
    <w:basedOn w:val="1"/>
    <w:autoRedefine/>
    <w:qFormat/>
    <w:uiPriority w:val="0"/>
    <w:pPr>
      <w:widowControl w:val="0"/>
      <w:autoSpaceDE w:val="0"/>
      <w:autoSpaceDN w:val="0"/>
      <w:adjustRightInd w:val="0"/>
    </w:pPr>
    <w:rPr>
      <w:sz w:val="24"/>
      <w:szCs w:val="24"/>
    </w:rPr>
  </w:style>
  <w:style w:type="paragraph" w:customStyle="1" w:styleId="94">
    <w:name w:val="标题1.9"/>
    <w:basedOn w:val="1"/>
    <w:autoRedefine/>
    <w:qFormat/>
    <w:uiPriority w:val="0"/>
    <w:pPr>
      <w:widowControl w:val="0"/>
      <w:autoSpaceDE w:val="0"/>
      <w:autoSpaceDN w:val="0"/>
      <w:adjustRightInd w:val="0"/>
      <w:jc w:val="center"/>
    </w:pPr>
    <w:rPr>
      <w:rFonts w:ascii="黑体" w:eastAsia="黑体"/>
      <w:sz w:val="24"/>
      <w:szCs w:val="24"/>
    </w:rPr>
  </w:style>
  <w:style w:type="paragraph" w:customStyle="1" w:styleId="95">
    <w:name w:val="默认段落字体 Para Char Char Char Char Char Char Char Char Char1 Char Char Char Char"/>
    <w:basedOn w:val="1"/>
    <w:autoRedefine/>
    <w:qFormat/>
    <w:uiPriority w:val="0"/>
    <w:pPr>
      <w:widowControl w:val="0"/>
      <w:adjustRightInd w:val="0"/>
      <w:spacing w:line="312" w:lineRule="atLeast"/>
      <w:jc w:val="both"/>
      <w:textAlignment w:val="baseline"/>
    </w:pPr>
    <w:rPr>
      <w:b/>
      <w:bCs/>
      <w:sz w:val="36"/>
      <w:szCs w:val="32"/>
    </w:rPr>
  </w:style>
  <w:style w:type="paragraph" w:styleId="96">
    <w:name w:val="List Paragraph"/>
    <w:basedOn w:val="1"/>
    <w:link w:val="140"/>
    <w:autoRedefine/>
    <w:qFormat/>
    <w:uiPriority w:val="34"/>
    <w:pPr>
      <w:widowControl w:val="0"/>
      <w:spacing w:line="360" w:lineRule="auto"/>
      <w:ind w:left="720" w:firstLine="420" w:firstLineChars="200"/>
      <w:jc w:val="both"/>
    </w:pPr>
    <w:rPr>
      <w:rFonts w:ascii="Calibri" w:hAnsi="Calibri"/>
      <w:kern w:val="2"/>
      <w:sz w:val="21"/>
      <w:szCs w:val="22"/>
    </w:rPr>
  </w:style>
  <w:style w:type="paragraph" w:customStyle="1" w:styleId="97">
    <w:name w:val="正文文本缩进 21"/>
    <w:basedOn w:val="1"/>
    <w:autoRedefine/>
    <w:qFormat/>
    <w:uiPriority w:val="0"/>
    <w:pPr>
      <w:widowControl w:val="0"/>
      <w:adjustRightInd w:val="0"/>
      <w:spacing w:line="360" w:lineRule="atLeast"/>
      <w:ind w:firstLine="600"/>
      <w:jc w:val="both"/>
      <w:textAlignment w:val="baseline"/>
    </w:pPr>
    <w:rPr>
      <w:sz w:val="32"/>
    </w:rPr>
  </w:style>
  <w:style w:type="paragraph" w:customStyle="1" w:styleId="98">
    <w:name w:val="标题 4.1"/>
    <w:basedOn w:val="1"/>
    <w:autoRedefine/>
    <w:qFormat/>
    <w:uiPriority w:val="0"/>
    <w:pPr>
      <w:keepNext/>
      <w:keepLines/>
      <w:widowControl w:val="0"/>
      <w:spacing w:before="280" w:after="290" w:line="376" w:lineRule="auto"/>
      <w:jc w:val="both"/>
      <w:outlineLvl w:val="3"/>
    </w:pPr>
    <w:rPr>
      <w:rFonts w:ascii="Arial" w:hAnsi="Arial" w:eastAsia="黑体"/>
      <w:b/>
      <w:bCs/>
      <w:kern w:val="2"/>
      <w:sz w:val="28"/>
      <w:szCs w:val="28"/>
    </w:rPr>
  </w:style>
  <w:style w:type="paragraph" w:customStyle="1" w:styleId="99">
    <w:name w:val="reader-word-layer reader-word-s16-2"/>
    <w:basedOn w:val="1"/>
    <w:autoRedefine/>
    <w:qFormat/>
    <w:uiPriority w:val="0"/>
    <w:pPr>
      <w:spacing w:before="100" w:beforeAutospacing="1" w:after="100" w:afterAutospacing="1"/>
    </w:pPr>
    <w:rPr>
      <w:rFonts w:ascii="宋体" w:hAnsi="宋体" w:cs="宋体"/>
      <w:sz w:val="24"/>
      <w:szCs w:val="24"/>
    </w:rPr>
  </w:style>
  <w:style w:type="paragraph" w:customStyle="1" w:styleId="100">
    <w:name w:val="标题5"/>
    <w:basedOn w:val="1"/>
    <w:autoRedefine/>
    <w:qFormat/>
    <w:uiPriority w:val="0"/>
    <w:pPr>
      <w:widowControl w:val="0"/>
      <w:tabs>
        <w:tab w:val="left" w:pos="7035"/>
      </w:tabs>
      <w:jc w:val="both"/>
    </w:pPr>
    <w:rPr>
      <w:rFonts w:ascii="宋体" w:hAnsi="宋体"/>
      <w:b/>
      <w:color w:val="000000"/>
      <w:kern w:val="2"/>
      <w:sz w:val="24"/>
      <w:szCs w:val="24"/>
    </w:rPr>
  </w:style>
  <w:style w:type="paragraph" w:customStyle="1" w:styleId="101">
    <w:name w:val="正文文本 21"/>
    <w:basedOn w:val="1"/>
    <w:autoRedefine/>
    <w:qFormat/>
    <w:uiPriority w:val="0"/>
    <w:pPr>
      <w:widowControl w:val="0"/>
      <w:adjustRightInd w:val="0"/>
      <w:spacing w:line="360" w:lineRule="atLeast"/>
      <w:ind w:firstLine="720"/>
      <w:jc w:val="both"/>
      <w:textAlignment w:val="baseline"/>
    </w:pPr>
    <w:rPr>
      <w:sz w:val="32"/>
      <w:szCs w:val="24"/>
    </w:rPr>
  </w:style>
  <w:style w:type="paragraph" w:customStyle="1" w:styleId="102">
    <w:name w:val="reader-word-layer reader-word-s16-14"/>
    <w:basedOn w:val="1"/>
    <w:autoRedefine/>
    <w:qFormat/>
    <w:uiPriority w:val="0"/>
    <w:pPr>
      <w:spacing w:before="100" w:beforeAutospacing="1" w:after="100" w:afterAutospacing="1"/>
    </w:pPr>
    <w:rPr>
      <w:rFonts w:ascii="宋体" w:hAnsi="宋体" w:cs="宋体"/>
      <w:sz w:val="24"/>
      <w:szCs w:val="24"/>
    </w:rPr>
  </w:style>
  <w:style w:type="paragraph" w:customStyle="1" w:styleId="103">
    <w:name w:val="xl28"/>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104">
    <w:name w:val="reader-word-layer reader-word-s16-16"/>
    <w:basedOn w:val="1"/>
    <w:autoRedefine/>
    <w:qFormat/>
    <w:uiPriority w:val="0"/>
    <w:pPr>
      <w:spacing w:before="100" w:beforeAutospacing="1" w:after="100" w:afterAutospacing="1"/>
    </w:pPr>
    <w:rPr>
      <w:rFonts w:ascii="宋体" w:hAnsi="宋体" w:cs="宋体"/>
      <w:sz w:val="24"/>
      <w:szCs w:val="24"/>
    </w:rPr>
  </w:style>
  <w:style w:type="paragraph" w:customStyle="1" w:styleId="105">
    <w:name w:val="o"/>
    <w:basedOn w:val="1"/>
    <w:autoRedefine/>
    <w:qFormat/>
    <w:uiPriority w:val="0"/>
    <w:pPr>
      <w:widowControl w:val="0"/>
      <w:adjustRightInd w:val="0"/>
      <w:spacing w:line="360" w:lineRule="atLeast"/>
      <w:textAlignment w:val="baseline"/>
    </w:pPr>
    <w:rPr>
      <w:rFonts w:ascii="宋体"/>
      <w:sz w:val="32"/>
    </w:rPr>
  </w:style>
  <w:style w:type="paragraph" w:customStyle="1" w:styleId="106">
    <w:name w:val="aspnumfaautoadjustright"/>
    <w:autoRedefine/>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07">
    <w:name w:val="小标题"/>
    <w:basedOn w:val="1"/>
    <w:autoRedefine/>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108">
    <w:name w:val="默认段落字体 Para Char Char Char Char Char Char Char Char Char1 Char Char Char Char Char Char Char"/>
    <w:basedOn w:val="13"/>
    <w:autoRedefine/>
    <w:qFormat/>
    <w:uiPriority w:val="0"/>
    <w:pPr>
      <w:widowControl w:val="0"/>
      <w:jc w:val="both"/>
    </w:pPr>
    <w:rPr>
      <w:rFonts w:ascii="Tahoma" w:hAnsi="Tahoma" w:cs="Tahoma"/>
      <w:kern w:val="2"/>
      <w:sz w:val="24"/>
      <w:szCs w:val="24"/>
    </w:rPr>
  </w:style>
  <w:style w:type="paragraph" w:customStyle="1" w:styleId="109">
    <w:name w:val="?¡ì?¡ì?¡§¡è?¡ìo????¡§¡è?:1:1"/>
    <w:basedOn w:val="1"/>
    <w:autoRedefine/>
    <w:qFormat/>
    <w:uiPriority w:val="0"/>
    <w:pPr>
      <w:overflowPunct w:val="0"/>
      <w:autoSpaceDE w:val="0"/>
      <w:autoSpaceDN w:val="0"/>
      <w:adjustRightInd w:val="0"/>
    </w:pPr>
    <w:rPr>
      <w:sz w:val="24"/>
    </w:rPr>
  </w:style>
  <w:style w:type="paragraph" w:customStyle="1" w:styleId="110">
    <w:name w:val="Char Char2"/>
    <w:basedOn w:val="1"/>
    <w:autoRedefine/>
    <w:qFormat/>
    <w:uiPriority w:val="0"/>
    <w:pPr>
      <w:widowControl w:val="0"/>
      <w:jc w:val="both"/>
    </w:pPr>
    <w:rPr>
      <w:rFonts w:ascii="Tahoma" w:hAnsi="Tahoma"/>
      <w:kern w:val="2"/>
      <w:sz w:val="24"/>
    </w:rPr>
  </w:style>
  <w:style w:type="paragraph" w:customStyle="1" w:styleId="111">
    <w:name w:val="reader-word-layer reader-word-s16-12"/>
    <w:basedOn w:val="1"/>
    <w:autoRedefine/>
    <w:qFormat/>
    <w:uiPriority w:val="0"/>
    <w:pPr>
      <w:spacing w:before="100" w:beforeAutospacing="1" w:after="100" w:afterAutospacing="1"/>
    </w:pPr>
    <w:rPr>
      <w:rFonts w:ascii="宋体" w:hAnsi="宋体" w:cs="宋体"/>
      <w:sz w:val="24"/>
      <w:szCs w:val="24"/>
    </w:rPr>
  </w:style>
  <w:style w:type="paragraph" w:customStyle="1" w:styleId="112">
    <w:name w:val="reader-word-layer reader-word-s16-9"/>
    <w:basedOn w:val="1"/>
    <w:autoRedefine/>
    <w:qFormat/>
    <w:uiPriority w:val="0"/>
    <w:pPr>
      <w:spacing w:before="100" w:beforeAutospacing="1" w:after="100" w:afterAutospacing="1"/>
    </w:pPr>
    <w:rPr>
      <w:rFonts w:ascii="宋体" w:hAnsi="宋体" w:cs="宋体"/>
      <w:sz w:val="24"/>
      <w:szCs w:val="24"/>
    </w:rPr>
  </w:style>
  <w:style w:type="paragraph" w:customStyle="1" w:styleId="113">
    <w:name w:val="Char1 Char Char Char"/>
    <w:basedOn w:val="1"/>
    <w:autoRedefine/>
    <w:qFormat/>
    <w:uiPriority w:val="0"/>
    <w:pPr>
      <w:widowControl w:val="0"/>
      <w:jc w:val="both"/>
    </w:pPr>
    <w:rPr>
      <w:kern w:val="2"/>
      <w:sz w:val="21"/>
      <w:szCs w:val="24"/>
    </w:rPr>
  </w:style>
  <w:style w:type="paragraph" w:customStyle="1" w:styleId="114">
    <w:name w:val="默认段落字体 Para Char Char Char Char"/>
    <w:basedOn w:val="1"/>
    <w:autoRedefine/>
    <w:qFormat/>
    <w:uiPriority w:val="0"/>
    <w:pPr>
      <w:widowControl w:val="0"/>
      <w:jc w:val="both"/>
    </w:pPr>
    <w:rPr>
      <w:kern w:val="2"/>
      <w:sz w:val="21"/>
      <w:szCs w:val="24"/>
    </w:rPr>
  </w:style>
  <w:style w:type="paragraph" w:customStyle="1" w:styleId="115">
    <w:name w:val="?¡ì?¡ì?¡§¡è?¡ìo????¡§¡è?:1"/>
    <w:basedOn w:val="1"/>
    <w:autoRedefine/>
    <w:qFormat/>
    <w:uiPriority w:val="0"/>
    <w:pPr>
      <w:overflowPunct w:val="0"/>
      <w:autoSpaceDE w:val="0"/>
      <w:autoSpaceDN w:val="0"/>
      <w:adjustRightInd w:val="0"/>
    </w:pPr>
    <w:rPr>
      <w:sz w:val="24"/>
    </w:rPr>
  </w:style>
  <w:style w:type="paragraph" w:customStyle="1" w:styleId="116">
    <w:name w:val="默认段落字体 Para Char"/>
    <w:basedOn w:val="1"/>
    <w:autoRedefine/>
    <w:qFormat/>
    <w:uiPriority w:val="0"/>
    <w:pPr>
      <w:widowControl w:val="0"/>
      <w:jc w:val="both"/>
    </w:pPr>
    <w:rPr>
      <w:kern w:val="2"/>
      <w:sz w:val="21"/>
      <w:szCs w:val="24"/>
    </w:rPr>
  </w:style>
  <w:style w:type="paragraph" w:customStyle="1" w:styleId="117">
    <w:name w:val="表格02"/>
    <w:basedOn w:val="1"/>
    <w:autoRedefine/>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18">
    <w:name w:val="reader-word-layer reader-word-s16-17"/>
    <w:basedOn w:val="1"/>
    <w:autoRedefine/>
    <w:qFormat/>
    <w:uiPriority w:val="0"/>
    <w:pPr>
      <w:spacing w:before="100" w:beforeAutospacing="1" w:after="100" w:afterAutospacing="1"/>
    </w:pPr>
    <w:rPr>
      <w:rFonts w:ascii="宋体" w:hAnsi="宋体" w:cs="宋体"/>
      <w:sz w:val="24"/>
      <w:szCs w:val="24"/>
    </w:rPr>
  </w:style>
  <w:style w:type="paragraph" w:customStyle="1" w:styleId="119">
    <w:name w:val="CM22"/>
    <w:basedOn w:val="1"/>
    <w:next w:val="1"/>
    <w:autoRedefine/>
    <w:qFormat/>
    <w:uiPriority w:val="0"/>
    <w:pPr>
      <w:widowControl w:val="0"/>
      <w:autoSpaceDE w:val="0"/>
      <w:autoSpaceDN w:val="0"/>
      <w:adjustRightInd w:val="0"/>
      <w:spacing w:after="310"/>
    </w:pPr>
    <w:rPr>
      <w:rFonts w:ascii="宋体"/>
      <w:sz w:val="24"/>
      <w:szCs w:val="24"/>
    </w:rPr>
  </w:style>
  <w:style w:type="paragraph" w:customStyle="1" w:styleId="120">
    <w:name w:val="reader-word-layer reader-word-s16-11"/>
    <w:basedOn w:val="1"/>
    <w:autoRedefine/>
    <w:qFormat/>
    <w:uiPriority w:val="0"/>
    <w:pPr>
      <w:spacing w:before="100" w:beforeAutospacing="1" w:after="100" w:afterAutospacing="1"/>
    </w:pPr>
    <w:rPr>
      <w:rFonts w:ascii="宋体" w:hAnsi="宋体" w:cs="宋体"/>
      <w:sz w:val="24"/>
      <w:szCs w:val="24"/>
    </w:rPr>
  </w:style>
  <w:style w:type="paragraph" w:customStyle="1" w:styleId="121">
    <w:name w:val="È±Ê¡ÎÄ±¾:1:1"/>
    <w:basedOn w:val="1"/>
    <w:autoRedefine/>
    <w:qFormat/>
    <w:uiPriority w:val="0"/>
    <w:pPr>
      <w:overflowPunct w:val="0"/>
      <w:autoSpaceDE w:val="0"/>
      <w:autoSpaceDN w:val="0"/>
      <w:adjustRightInd w:val="0"/>
      <w:textAlignment w:val="baseline"/>
    </w:pPr>
    <w:rPr>
      <w:sz w:val="24"/>
    </w:rPr>
  </w:style>
  <w:style w:type="paragraph" w:customStyle="1" w:styleId="122">
    <w:name w:val="样式1"/>
    <w:basedOn w:val="1"/>
    <w:autoRedefine/>
    <w:qFormat/>
    <w:uiPriority w:val="0"/>
    <w:pPr>
      <w:widowControl w:val="0"/>
      <w:spacing w:before="120" w:after="120" w:line="300" w:lineRule="auto"/>
      <w:jc w:val="both"/>
    </w:pPr>
    <w:rPr>
      <w:rFonts w:ascii="宋体" w:hAnsi="宋体"/>
      <w:b/>
      <w:kern w:val="2"/>
      <w:sz w:val="24"/>
    </w:rPr>
  </w:style>
  <w:style w:type="paragraph" w:customStyle="1" w:styleId="123">
    <w:name w:val="_Style 17"/>
    <w:basedOn w:val="1"/>
    <w:next w:val="37"/>
    <w:autoRedefine/>
    <w:qFormat/>
    <w:uiPriority w:val="0"/>
    <w:pPr>
      <w:spacing w:before="100" w:beforeAutospacing="1" w:after="100" w:afterAutospacing="1"/>
    </w:pPr>
    <w:rPr>
      <w:rFonts w:ascii="宋体" w:hAnsi="宋体" w:cs="黑体"/>
      <w:sz w:val="24"/>
      <w:szCs w:val="24"/>
    </w:rPr>
  </w:style>
  <w:style w:type="paragraph" w:customStyle="1" w:styleId="124">
    <w:name w:val="Char Char Char Char1"/>
    <w:basedOn w:val="1"/>
    <w:autoRedefine/>
    <w:qFormat/>
    <w:uiPriority w:val="0"/>
    <w:pPr>
      <w:widowControl w:val="0"/>
      <w:jc w:val="both"/>
    </w:pPr>
    <w:rPr>
      <w:rFonts w:ascii="Tahoma" w:hAnsi="Tahoma"/>
      <w:kern w:val="2"/>
      <w:sz w:val="24"/>
    </w:rPr>
  </w:style>
  <w:style w:type="paragraph" w:customStyle="1" w:styleId="125">
    <w:name w:val="reader-word-layer reader-word-s16-7"/>
    <w:basedOn w:val="1"/>
    <w:autoRedefine/>
    <w:qFormat/>
    <w:uiPriority w:val="0"/>
    <w:pPr>
      <w:spacing w:before="100" w:beforeAutospacing="1" w:after="100" w:afterAutospacing="1"/>
    </w:pPr>
    <w:rPr>
      <w:rFonts w:ascii="宋体" w:hAnsi="宋体" w:cs="宋体"/>
      <w:sz w:val="24"/>
      <w:szCs w:val="24"/>
    </w:rPr>
  </w:style>
  <w:style w:type="paragraph" w:customStyle="1" w:styleId="126">
    <w:name w:val="正文文本缩进8"/>
    <w:basedOn w:val="1"/>
    <w:autoRedefine/>
    <w:qFormat/>
    <w:uiPriority w:val="0"/>
    <w:pPr>
      <w:widowControl w:val="0"/>
      <w:ind w:firstLine="560" w:firstLineChars="200"/>
      <w:jc w:val="both"/>
    </w:pPr>
    <w:rPr>
      <w:kern w:val="2"/>
      <w:sz w:val="28"/>
      <w:szCs w:val="28"/>
    </w:rPr>
  </w:style>
  <w:style w:type="paragraph" w:customStyle="1" w:styleId="127">
    <w:name w:val="_Style 110"/>
    <w:basedOn w:val="1"/>
    <w:next w:val="96"/>
    <w:autoRedefine/>
    <w:qFormat/>
    <w:uiPriority w:val="34"/>
    <w:pPr>
      <w:widowControl w:val="0"/>
      <w:ind w:firstLine="420" w:firstLineChars="200"/>
      <w:jc w:val="both"/>
    </w:pPr>
    <w:rPr>
      <w:kern w:val="2"/>
      <w:sz w:val="21"/>
    </w:rPr>
  </w:style>
  <w:style w:type="character" w:customStyle="1" w:styleId="128">
    <w:name w:val="页脚 Char"/>
    <w:link w:val="129"/>
    <w:autoRedefine/>
    <w:qFormat/>
    <w:uiPriority w:val="0"/>
    <w:rPr>
      <w:sz w:val="18"/>
    </w:rPr>
  </w:style>
  <w:style w:type="paragraph" w:customStyle="1" w:styleId="129">
    <w:name w:val="页脚1"/>
    <w:basedOn w:val="1"/>
    <w:link w:val="128"/>
    <w:autoRedefine/>
    <w:qFormat/>
    <w:uiPriority w:val="0"/>
    <w:pPr>
      <w:widowControl w:val="0"/>
      <w:tabs>
        <w:tab w:val="center" w:pos="4153"/>
        <w:tab w:val="right" w:pos="8306"/>
      </w:tabs>
      <w:snapToGrid w:val="0"/>
    </w:pPr>
    <w:rPr>
      <w:sz w:val="18"/>
    </w:rPr>
  </w:style>
  <w:style w:type="paragraph" w:customStyle="1" w:styleId="130">
    <w:name w:val="页眉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31">
    <w:name w:val="页眉1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32">
    <w:name w:val="正文缩进1"/>
    <w:basedOn w:val="1"/>
    <w:autoRedefine/>
    <w:qFormat/>
    <w:uiPriority w:val="0"/>
    <w:pPr>
      <w:spacing w:line="360" w:lineRule="auto"/>
      <w:ind w:left="20" w:leftChars="10" w:right="20" w:rightChars="10" w:firstLine="420"/>
      <w:jc w:val="both"/>
    </w:pPr>
    <w:rPr>
      <w:rFonts w:ascii="宋体" w:hAnsi="宋体" w:cs="宋体"/>
      <w:bCs/>
      <w:sz w:val="24"/>
      <w:szCs w:val="24"/>
    </w:rPr>
  </w:style>
  <w:style w:type="paragraph" w:styleId="133">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列出段落1"/>
    <w:basedOn w:val="1"/>
    <w:autoRedefine/>
    <w:qFormat/>
    <w:uiPriority w:val="0"/>
    <w:pPr>
      <w:widowControl w:val="0"/>
      <w:ind w:firstLine="420"/>
      <w:jc w:val="both"/>
    </w:pPr>
    <w:rPr>
      <w:kern w:val="2"/>
      <w:sz w:val="21"/>
    </w:rPr>
  </w:style>
  <w:style w:type="character" w:customStyle="1" w:styleId="135">
    <w:name w:val="p0 Char"/>
    <w:link w:val="136"/>
    <w:autoRedefine/>
    <w:qFormat/>
    <w:locked/>
    <w:uiPriority w:val="0"/>
    <w:rPr>
      <w:sz w:val="21"/>
      <w:szCs w:val="21"/>
    </w:rPr>
  </w:style>
  <w:style w:type="paragraph" w:customStyle="1" w:styleId="136">
    <w:name w:val="p0"/>
    <w:basedOn w:val="137"/>
    <w:link w:val="135"/>
    <w:autoRedefine/>
    <w:qFormat/>
    <w:uiPriority w:val="0"/>
    <w:pPr>
      <w:jc w:val="both"/>
    </w:pPr>
    <w:rPr>
      <w:rFonts w:eastAsia="微软雅黑" w:asciiTheme="minorHAnsi" w:hAnsiTheme="minorHAnsi" w:cstheme="minorBidi"/>
      <w:sz w:val="21"/>
      <w:szCs w:val="21"/>
    </w:rPr>
  </w:style>
  <w:style w:type="paragraph" w:customStyle="1" w:styleId="137">
    <w:name w:val="msonormal"/>
    <w:basedOn w:val="1"/>
    <w:autoRedefine/>
    <w:qFormat/>
    <w:uiPriority w:val="0"/>
    <w:pPr>
      <w:spacing w:beforeAutospacing="1" w:afterAutospacing="1"/>
    </w:pPr>
    <w:rPr>
      <w:rFonts w:hint="eastAsia" w:ascii="宋体" w:hAnsi="宋体"/>
      <w:sz w:val="24"/>
      <w:szCs w:val="24"/>
    </w:rPr>
  </w:style>
  <w:style w:type="paragraph" w:customStyle="1" w:styleId="138">
    <w:name w:val="正文缩进2格"/>
    <w:basedOn w:val="1"/>
    <w:link w:val="139"/>
    <w:autoRedefine/>
    <w:qFormat/>
    <w:uiPriority w:val="0"/>
    <w:pPr>
      <w:widowControl w:val="0"/>
      <w:spacing w:line="600" w:lineRule="exact"/>
      <w:ind w:firstLine="639" w:firstLineChars="206"/>
      <w:jc w:val="both"/>
    </w:pPr>
    <w:rPr>
      <w:rFonts w:ascii="仿宋_GB2312" w:hAnsi="宋体" w:eastAsia="仿宋_GB2312"/>
      <w:kern w:val="2"/>
      <w:sz w:val="31"/>
      <w:szCs w:val="28"/>
    </w:rPr>
  </w:style>
  <w:style w:type="character" w:customStyle="1" w:styleId="139">
    <w:name w:val="正文缩进2格 Char"/>
    <w:link w:val="138"/>
    <w:autoRedefine/>
    <w:qFormat/>
    <w:uiPriority w:val="0"/>
    <w:rPr>
      <w:rFonts w:ascii="仿宋_GB2312" w:hAnsi="宋体" w:eastAsia="仿宋_GB2312" w:cs="Times New Roman"/>
      <w:kern w:val="2"/>
      <w:sz w:val="31"/>
      <w:szCs w:val="28"/>
    </w:rPr>
  </w:style>
  <w:style w:type="character" w:customStyle="1" w:styleId="140">
    <w:name w:val="列表段落 字符"/>
    <w:link w:val="96"/>
    <w:autoRedefine/>
    <w:qFormat/>
    <w:uiPriority w:val="0"/>
    <w:rPr>
      <w:rFonts w:ascii="Calibri" w:hAnsi="Calibri" w:eastAsia="宋体" w:cs="Times New Roman"/>
      <w:kern w:val="2"/>
      <w:sz w:val="21"/>
      <w:szCs w:val="22"/>
    </w:rPr>
  </w:style>
  <w:style w:type="character" w:customStyle="1" w:styleId="141">
    <w:name w:val="批注文字 字符"/>
    <w:basedOn w:val="45"/>
    <w:link w:val="14"/>
    <w:autoRedefine/>
    <w:semiHidden/>
    <w:qFormat/>
    <w:uiPriority w:val="0"/>
    <w:rPr>
      <w:rFonts w:ascii="Times New Roman" w:hAnsi="Times New Roman" w:eastAsia="宋体" w:cs="Times New Roman"/>
    </w:rPr>
  </w:style>
  <w:style w:type="character" w:customStyle="1" w:styleId="142">
    <w:name w:val="批注主题 字符"/>
    <w:basedOn w:val="141"/>
    <w:link w:val="40"/>
    <w:autoRedefine/>
    <w:semiHidden/>
    <w:qFormat/>
    <w:uiPriority w:val="0"/>
    <w:rPr>
      <w:rFonts w:ascii="Times New Roman" w:hAnsi="Times New Roman" w:eastAsia="宋体" w:cs="Times New Roman"/>
      <w:b/>
      <w:bCs/>
    </w:rPr>
  </w:style>
  <w:style w:type="paragraph" w:customStyle="1" w:styleId="143">
    <w:name w:val="修订1"/>
    <w:autoRedefine/>
    <w:hidden/>
    <w:semiHidden/>
    <w:qFormat/>
    <w:uiPriority w:val="99"/>
    <w:rPr>
      <w:rFonts w:ascii="Times New Roman" w:hAnsi="Times New Roman" w:eastAsia="宋体" w:cs="Times New Roman"/>
      <w:lang w:val="en-US" w:eastAsia="zh-CN" w:bidi="ar-SA"/>
    </w:rPr>
  </w:style>
  <w:style w:type="character" w:customStyle="1" w:styleId="144">
    <w:name w:val="layui-layer-tabnow"/>
    <w:basedOn w:val="45"/>
    <w:autoRedefine/>
    <w:qFormat/>
    <w:uiPriority w:val="0"/>
    <w:rPr>
      <w:bdr w:val="single" w:color="CCCCCC" w:sz="6" w:space="0"/>
      <w:shd w:val="clear" w:color="auto" w:fill="FFFFFF"/>
    </w:rPr>
  </w:style>
  <w:style w:type="character" w:customStyle="1" w:styleId="145">
    <w:name w:val="first-child"/>
    <w:basedOn w:val="45"/>
    <w:autoRedefine/>
    <w:qFormat/>
    <w:uiPriority w:val="0"/>
  </w:style>
  <w:style w:type="character" w:customStyle="1" w:styleId="146">
    <w:name w:val="layui-laypage-curr"/>
    <w:basedOn w:val="45"/>
    <w:autoRedefine/>
    <w:qFormat/>
    <w:uiPriority w:val="0"/>
  </w:style>
  <w:style w:type="character" w:customStyle="1" w:styleId="147">
    <w:name w:val="bsharetext"/>
    <w:basedOn w:val="45"/>
    <w:autoRedefine/>
    <w:qFormat/>
    <w:uiPriority w:val="0"/>
  </w:style>
  <w:style w:type="paragraph" w:customStyle="1" w:styleId="148">
    <w:name w:val="Table Paragraph"/>
    <w:basedOn w:val="1"/>
    <w:autoRedefine/>
    <w:qFormat/>
    <w:uiPriority w:val="1"/>
    <w:rPr>
      <w:rFonts w:ascii="宋体" w:hAnsi="宋体" w:cs="宋体"/>
      <w:lang w:val="zh-CN" w:bidi="zh-CN"/>
    </w:rPr>
  </w:style>
  <w:style w:type="paragraph" w:customStyle="1" w:styleId="149">
    <w:name w:val="无间隔1"/>
    <w:autoRedefine/>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150">
    <w:name w:val="列表段落1"/>
    <w:basedOn w:val="1"/>
    <w:autoRedefine/>
    <w:qFormat/>
    <w:uiPriority w:val="99"/>
    <w:pPr>
      <w:ind w:firstLine="420" w:firstLineChars="200"/>
    </w:pPr>
  </w:style>
  <w:style w:type="character" w:customStyle="1" w:styleId="151">
    <w:name w:val="fontstyle01"/>
    <w:autoRedefine/>
    <w:qFormat/>
    <w:uiPriority w:val="0"/>
    <w:rPr>
      <w:rFonts w:hint="eastAsia" w:ascii="宋体" w:hAnsi="宋体" w:eastAsia="宋体"/>
      <w:color w:val="000000"/>
      <w:sz w:val="20"/>
      <w:szCs w:val="20"/>
    </w:rPr>
  </w:style>
  <w:style w:type="character" w:customStyle="1" w:styleId="152">
    <w:name w:val="fontstyle21"/>
    <w:autoRedefine/>
    <w:qFormat/>
    <w:uiPriority w:val="0"/>
    <w:rPr>
      <w:rFonts w:hint="default" w:ascii="TimesNewRomanPSMT" w:hAnsi="TimesNewRomanPSMT"/>
      <w:color w:val="000000"/>
      <w:sz w:val="20"/>
      <w:szCs w:val="20"/>
    </w:rPr>
  </w:style>
  <w:style w:type="paragraph" w:customStyle="1" w:styleId="153">
    <w:name w:val="shieldshopinfo"/>
    <w:basedOn w:val="1"/>
    <w:qFormat/>
    <w:uiPriority w:val="0"/>
    <w:pPr>
      <w:spacing w:before="100" w:beforeAutospacing="1" w:after="100" w:afterAutospacing="1"/>
    </w:pPr>
    <w:rPr>
      <w:rFonts w:ascii="宋体" w:hAnsi="宋体" w:cs="宋体"/>
      <w:sz w:val="24"/>
      <w:szCs w:val="24"/>
    </w:rPr>
  </w:style>
  <w:style w:type="paragraph" w:customStyle="1" w:styleId="154">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155">
    <w:name w:val="NormalCharacter"/>
    <w:qFormat/>
    <w:uiPriority w:val="0"/>
  </w:style>
  <w:style w:type="character" w:customStyle="1" w:styleId="156">
    <w:name w:val="UserStyle_2"/>
    <w:semiHidden/>
    <w:qFormat/>
    <w:uiPriority w:val="0"/>
    <w:rPr>
      <w:rFonts w:ascii="Calibri" w:hAnsi="Calibri" w:eastAsia="宋体" w:cs="Times New Roman"/>
      <w:kern w:val="2"/>
      <w:sz w:val="21"/>
      <w:szCs w:val="24"/>
      <w:lang w:val="en-US" w:eastAsia="zh-CN" w:bidi="ar-SA"/>
    </w:rPr>
  </w:style>
  <w:style w:type="paragraph" w:customStyle="1" w:styleId="157">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158">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Normal_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0">
    <w:name w:val="正文 A"/>
    <w:qFormat/>
    <w:uiPriority w:val="0"/>
    <w:pPr>
      <w:widowControl w:val="0"/>
      <w:jc w:val="both"/>
    </w:pPr>
    <w:rPr>
      <w:rFonts w:ascii="Times New Roman" w:hAnsi="Times New Roman" w:eastAsia="Calibri" w:cs="Times New Roman"/>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中恒一信项目管理咨询有限公司</Company>
  <Pages>73</Pages>
  <Words>3851</Words>
  <Characters>4642</Characters>
  <Lines>298</Lines>
  <Paragraphs>84</Paragraphs>
  <TotalTime>2</TotalTime>
  <ScaleCrop>false</ScaleCrop>
  <LinksUpToDate>false</LinksUpToDate>
  <CharactersWithSpaces>4719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2020-12-07T00:11:00Z</dcterms:created>
  <dc:creator>赵明</dc:creator>
  <cp:lastModifiedBy>Administrator</cp:lastModifiedBy>
  <cp:lastPrinted>2024-09-04T02:07:00Z</cp:lastPrinted>
  <dcterms:modified xsi:type="dcterms:W3CDTF">2025-07-21T06:06:36Z</dcterms:modified>
  <dc:title>招标文件</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B910D9DFCDD542B0850FE219CC285379_13</vt:lpwstr>
  </property>
  <property fmtid="{D5CDD505-2E9C-101B-9397-08002B2CF9AE}" pid="4" name="KSOTemplateDocerSaveRecord">
    <vt:lpwstr>eyJoZGlkIjoiNTQxNzM0ZjhjMjdhZDYwZmU0OTgwZDg0NTAxOTZhNjkiLCJ1c2VySWQiOiI3NDA2NjA2MzAifQ==</vt:lpwstr>
  </property>
</Properties>
</file>